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B30" w:rsidRDefault="00AB1B6F">
      <w:pPr>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275B30" w:rsidRDefault="00AB1B6F">
      <w:pPr>
        <w:spacing w:line="560" w:lineRule="exact"/>
        <w:jc w:val="center"/>
        <w:rPr>
          <w:rFonts w:ascii="方正小标宋简体" w:eastAsia="方正小标宋简体" w:hAnsi="方正小标宋简体" w:cs="方正小标宋简体"/>
          <w:b/>
          <w:bCs/>
          <w:sz w:val="44"/>
          <w:szCs w:val="44"/>
        </w:rPr>
      </w:pPr>
      <w:r>
        <w:rPr>
          <w:rFonts w:ascii="方正小标宋简体" w:eastAsia="方正小标宋简体" w:hAnsi="方正小标宋简体" w:cs="方正小标宋简体" w:hint="eastAsia"/>
          <w:b/>
          <w:bCs/>
          <w:sz w:val="44"/>
          <w:szCs w:val="44"/>
        </w:rPr>
        <w:t>一、</w:t>
      </w:r>
      <w:r>
        <w:rPr>
          <w:rFonts w:ascii="方正小标宋简体" w:eastAsia="方正小标宋简体" w:hAnsi="方正小标宋简体" w:cs="方正小标宋简体" w:hint="eastAsia"/>
          <w:b/>
          <w:bCs/>
          <w:sz w:val="44"/>
          <w:szCs w:val="44"/>
        </w:rPr>
        <w:t>古龙页岩油气勘探开发理论、关键技术</w:t>
      </w:r>
    </w:p>
    <w:p w:rsidR="00275B30" w:rsidRDefault="00AB1B6F">
      <w:pPr>
        <w:spacing w:line="560" w:lineRule="exact"/>
        <w:jc w:val="center"/>
        <w:rPr>
          <w:rFonts w:ascii="方正小标宋简体" w:eastAsia="方正小标宋简体" w:hAnsi="方正小标宋简体" w:cs="方正小标宋简体"/>
          <w:b/>
          <w:color w:val="000000" w:themeColor="text1"/>
          <w:sz w:val="30"/>
          <w:szCs w:val="30"/>
        </w:rPr>
      </w:pPr>
      <w:r>
        <w:rPr>
          <w:rFonts w:ascii="方正小标宋简体" w:eastAsia="方正小标宋简体" w:hAnsi="方正小标宋简体" w:cs="方正小标宋简体" w:hint="eastAsia"/>
          <w:b/>
          <w:bCs/>
          <w:sz w:val="44"/>
          <w:szCs w:val="44"/>
        </w:rPr>
        <w:t>及开发现场试验研究</w:t>
      </w:r>
      <w:r>
        <w:rPr>
          <w:rFonts w:ascii="方正小标宋简体" w:eastAsia="方正小标宋简体" w:hAnsi="方正小标宋简体" w:cs="方正小标宋简体" w:hint="eastAsia"/>
          <w:b/>
          <w:bCs/>
          <w:sz w:val="44"/>
          <w:szCs w:val="44"/>
        </w:rPr>
        <w:t>榜单</w:t>
      </w:r>
    </w:p>
    <w:p w:rsidR="00275B30" w:rsidRDefault="00AB1B6F">
      <w:pPr>
        <w:spacing w:line="560" w:lineRule="exact"/>
        <w:ind w:firstLineChars="200" w:firstLine="640"/>
        <w:rPr>
          <w:rFonts w:ascii="仿宋_GB2312" w:eastAsia="仿宋_GB2312" w:hAnsi="仿宋_GB2312" w:cs="仿宋_GB2312"/>
          <w:b/>
          <w:color w:val="000000" w:themeColor="text1"/>
          <w:sz w:val="30"/>
          <w:szCs w:val="30"/>
        </w:rPr>
      </w:pPr>
      <w:r>
        <w:rPr>
          <w:rFonts w:ascii="仿宋_GB2312" w:eastAsia="仿宋_GB2312" w:hAnsi="方正仿宋简体" w:cs="方正仿宋简体" w:hint="eastAsia"/>
          <w:color w:val="000000" w:themeColor="text1"/>
          <w:sz w:val="32"/>
          <w:szCs w:val="32"/>
        </w:rPr>
        <w:t>古龙页岩油气资源潜力巨大，大庆油田已经实现重大战略突破，展现了良好的勘探开发前景。古龙页岩油的勘探开发，有望成为松辽盆地乃至全国油气勘探史上的重要里程碑，具有重要的科学意义、产业意义、经济意义、社会意义和示范引领意义。古龙页岩油气成功勘探开发将推动我国陆相页岩油气革命，影响全球页岩油气发展，有效应对美国能源独立引发的全球地缘政治变革，为保障国家能源安全提供资源支撑。按照习近平总书记“大力提升国内油气勘探开发力度”重要批示要求，为进一步加快古龙页岩油气的勘探开发，设立本</w:t>
      </w:r>
      <w:r>
        <w:rPr>
          <w:rFonts w:ascii="仿宋_GB2312" w:eastAsia="仿宋_GB2312" w:hAnsi="方正仿宋简体" w:cs="方正仿宋简体" w:hint="eastAsia"/>
          <w:color w:val="000000" w:themeColor="text1"/>
          <w:sz w:val="32"/>
          <w:szCs w:val="32"/>
        </w:rPr>
        <w:t>榜单</w:t>
      </w:r>
      <w:r>
        <w:rPr>
          <w:rFonts w:ascii="仿宋_GB2312" w:eastAsia="仿宋_GB2312" w:hAnsi="方正仿宋简体" w:cs="方正仿宋简体" w:hint="eastAsia"/>
          <w:color w:val="000000" w:themeColor="text1"/>
          <w:sz w:val="32"/>
          <w:szCs w:val="32"/>
        </w:rPr>
        <w:t>，深入开展古龙页岩油气勘探开发理论、</w:t>
      </w:r>
      <w:r>
        <w:rPr>
          <w:rFonts w:ascii="仿宋_GB2312" w:eastAsia="仿宋_GB2312" w:hAnsi="方正仿宋简体" w:cs="方正仿宋简体" w:hint="eastAsia"/>
          <w:color w:val="000000" w:themeColor="text1"/>
          <w:sz w:val="32"/>
          <w:szCs w:val="32"/>
        </w:rPr>
        <w:t>关键技术及开发现场试验研究。</w:t>
      </w:r>
      <w:r>
        <w:rPr>
          <w:rFonts w:ascii="仿宋_GB2312" w:eastAsia="仿宋_GB2312" w:hAnsi="仿宋_GB2312" w:cs="仿宋_GB2312" w:hint="eastAsia"/>
          <w:b/>
          <w:color w:val="000000" w:themeColor="text1"/>
          <w:sz w:val="30"/>
          <w:szCs w:val="30"/>
        </w:rPr>
        <w:t>本</w:t>
      </w:r>
      <w:r>
        <w:rPr>
          <w:rFonts w:ascii="仿宋_GB2312" w:eastAsia="仿宋_GB2312" w:hAnsi="仿宋_GB2312" w:cs="仿宋_GB2312" w:hint="eastAsia"/>
          <w:b/>
          <w:color w:val="000000" w:themeColor="text1"/>
          <w:sz w:val="30"/>
          <w:szCs w:val="30"/>
        </w:rPr>
        <w:t>榜单</w:t>
      </w:r>
      <w:r>
        <w:rPr>
          <w:rFonts w:ascii="仿宋_GB2312" w:eastAsia="仿宋_GB2312" w:hAnsi="仿宋_GB2312" w:cs="仿宋_GB2312" w:hint="eastAsia"/>
          <w:b/>
          <w:color w:val="000000" w:themeColor="text1"/>
          <w:sz w:val="30"/>
          <w:szCs w:val="30"/>
        </w:rPr>
        <w:t>共设置</w:t>
      </w:r>
      <w:r>
        <w:rPr>
          <w:rFonts w:ascii="仿宋_GB2312" w:eastAsia="仿宋_GB2312" w:hAnsi="仿宋_GB2312" w:cs="仿宋_GB2312" w:hint="eastAsia"/>
          <w:b/>
          <w:color w:val="000000" w:themeColor="text1"/>
          <w:sz w:val="30"/>
          <w:szCs w:val="30"/>
        </w:rPr>
        <w:t>16</w:t>
      </w:r>
      <w:r>
        <w:rPr>
          <w:rFonts w:ascii="仿宋_GB2312" w:eastAsia="仿宋_GB2312" w:hAnsi="仿宋_GB2312" w:cs="仿宋_GB2312" w:hint="eastAsia"/>
          <w:b/>
          <w:color w:val="000000" w:themeColor="text1"/>
          <w:sz w:val="30"/>
          <w:szCs w:val="30"/>
        </w:rPr>
        <w:t>个项目，总经费</w:t>
      </w:r>
      <w:r>
        <w:rPr>
          <w:rFonts w:ascii="仿宋_GB2312" w:eastAsia="仿宋_GB2312" w:hAnsi="仿宋_GB2312" w:cs="仿宋_GB2312" w:hint="eastAsia"/>
          <w:b/>
          <w:color w:val="000000" w:themeColor="text1"/>
          <w:sz w:val="30"/>
          <w:szCs w:val="30"/>
        </w:rPr>
        <w:t>预算</w:t>
      </w:r>
      <w:r>
        <w:rPr>
          <w:rFonts w:ascii="仿宋_GB2312" w:eastAsia="仿宋_GB2312" w:hAnsi="仿宋_GB2312" w:cs="仿宋_GB2312" w:hint="eastAsia"/>
          <w:b/>
          <w:color w:val="000000" w:themeColor="text1"/>
          <w:sz w:val="30"/>
          <w:szCs w:val="30"/>
        </w:rPr>
        <w:t>15130</w:t>
      </w:r>
      <w:r>
        <w:rPr>
          <w:rFonts w:ascii="仿宋_GB2312" w:eastAsia="仿宋_GB2312" w:hAnsi="仿宋_GB2312" w:cs="仿宋_GB2312" w:hint="eastAsia"/>
          <w:b/>
          <w:color w:val="000000" w:themeColor="text1"/>
          <w:sz w:val="30"/>
          <w:szCs w:val="30"/>
        </w:rPr>
        <w:t>万元</w:t>
      </w:r>
      <w:r>
        <w:rPr>
          <w:rFonts w:ascii="仿宋_GB2312" w:eastAsia="仿宋_GB2312" w:hAnsi="仿宋_GB2312" w:cs="仿宋_GB2312" w:hint="eastAsia"/>
          <w:b/>
          <w:color w:val="000000" w:themeColor="text1"/>
          <w:sz w:val="30"/>
          <w:szCs w:val="30"/>
        </w:rPr>
        <w:t>，由</w:t>
      </w:r>
      <w:r>
        <w:rPr>
          <w:rFonts w:ascii="仿宋_GB2312" w:eastAsia="仿宋_GB2312" w:hAnsi="仿宋_GB2312" w:cs="仿宋_GB2312" w:hint="eastAsia"/>
          <w:b/>
          <w:color w:val="000000" w:themeColor="text1"/>
          <w:sz w:val="30"/>
          <w:szCs w:val="30"/>
        </w:rPr>
        <w:t>大庆油田有限责任公司</w:t>
      </w:r>
      <w:r>
        <w:rPr>
          <w:rFonts w:ascii="仿宋_GB2312" w:eastAsia="仿宋_GB2312" w:hAnsi="仿宋_GB2312" w:cs="仿宋_GB2312" w:hint="eastAsia"/>
          <w:b/>
          <w:color w:val="000000" w:themeColor="text1"/>
          <w:sz w:val="30"/>
          <w:szCs w:val="30"/>
        </w:rPr>
        <w:t>和黑龙江省人民政府共同出资。</w:t>
      </w:r>
    </w:p>
    <w:p w:rsidR="00275B30" w:rsidRDefault="00AB1B6F">
      <w:pPr>
        <w:spacing w:line="560" w:lineRule="exact"/>
        <w:ind w:firstLineChars="200" w:firstLine="618"/>
        <w:rPr>
          <w:rFonts w:ascii="仿宋_GB2312" w:eastAsia="仿宋_GB2312" w:hAnsi="仿宋_GB2312" w:cs="仿宋_GB2312"/>
          <w:color w:val="000000" w:themeColor="text1"/>
          <w:sz w:val="32"/>
          <w:szCs w:val="32"/>
        </w:rPr>
      </w:pPr>
      <w:r>
        <w:rPr>
          <w:rFonts w:ascii="黑体" w:eastAsia="黑体" w:hAnsi="黑体" w:cs="黑体" w:hint="eastAsia"/>
          <w:b/>
          <w:color w:val="000000" w:themeColor="text1"/>
          <w:spacing w:val="-6"/>
          <w:sz w:val="32"/>
          <w:szCs w:val="32"/>
        </w:rPr>
        <w:t>项目</w:t>
      </w:r>
      <w:r>
        <w:rPr>
          <w:rFonts w:ascii="黑体" w:eastAsia="黑体" w:hAnsi="黑体" w:cs="黑体" w:hint="eastAsia"/>
          <w:b/>
          <w:color w:val="000000" w:themeColor="text1"/>
          <w:spacing w:val="-6"/>
          <w:sz w:val="32"/>
          <w:szCs w:val="32"/>
        </w:rPr>
        <w:t>1</w:t>
      </w:r>
      <w:r>
        <w:rPr>
          <w:rFonts w:ascii="黑体" w:eastAsia="黑体" w:hAnsi="黑体" w:cs="黑体" w:hint="eastAsia"/>
          <w:b/>
          <w:color w:val="000000" w:themeColor="text1"/>
          <w:spacing w:val="-6"/>
          <w:sz w:val="32"/>
          <w:szCs w:val="32"/>
        </w:rPr>
        <w:t>：古龙页岩</w:t>
      </w:r>
      <w:proofErr w:type="gramStart"/>
      <w:r>
        <w:rPr>
          <w:rFonts w:ascii="黑体" w:eastAsia="黑体" w:hAnsi="黑体" w:cs="黑体" w:hint="eastAsia"/>
          <w:b/>
          <w:color w:val="000000" w:themeColor="text1"/>
          <w:spacing w:val="-6"/>
          <w:sz w:val="32"/>
          <w:szCs w:val="32"/>
        </w:rPr>
        <w:t>油古温</w:t>
      </w:r>
      <w:proofErr w:type="gramEnd"/>
      <w:r>
        <w:rPr>
          <w:rFonts w:ascii="黑体" w:eastAsia="黑体" w:hAnsi="黑体" w:cs="黑体" w:hint="eastAsia"/>
          <w:b/>
          <w:color w:val="000000" w:themeColor="text1"/>
          <w:spacing w:val="-6"/>
          <w:sz w:val="32"/>
          <w:szCs w:val="32"/>
        </w:rPr>
        <w:t>压场特征及其对页岩油成藏作用研究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古龙页岩油形成的古地温条件及其对有机质演化影响认识不清，孔隙压力演化及其对成藏控制机理不明确，需要研究形成页岩油温度场、</w:t>
      </w:r>
      <w:proofErr w:type="gramStart"/>
      <w:r>
        <w:rPr>
          <w:rFonts w:ascii="仿宋_GB2312" w:eastAsia="仿宋_GB2312" w:hAnsi="仿宋_GB2312" w:cs="仿宋_GB2312" w:hint="eastAsia"/>
          <w:color w:val="000000" w:themeColor="text1"/>
          <w:sz w:val="32"/>
          <w:szCs w:val="32"/>
        </w:rPr>
        <w:t>压力场</w:t>
      </w:r>
      <w:proofErr w:type="gramEnd"/>
      <w:r>
        <w:rPr>
          <w:rFonts w:ascii="仿宋_GB2312" w:eastAsia="仿宋_GB2312" w:hAnsi="仿宋_GB2312" w:cs="仿宋_GB2312" w:hint="eastAsia"/>
          <w:color w:val="000000" w:themeColor="text1"/>
          <w:sz w:val="32"/>
          <w:szCs w:val="32"/>
        </w:rPr>
        <w:t>及其热史演化分析技术方法，支撑古龙页岩油富集区优选。</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古龙页岩油层温度和压力特征解剖；</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古龙页岩油形成的</w:t>
      </w:r>
      <w:proofErr w:type="gramStart"/>
      <w:r>
        <w:rPr>
          <w:rFonts w:ascii="仿宋_GB2312" w:eastAsia="仿宋_GB2312" w:hAnsi="仿宋_GB2312" w:cs="仿宋_GB2312" w:hint="eastAsia"/>
          <w:color w:val="000000" w:themeColor="text1"/>
          <w:sz w:val="32"/>
          <w:szCs w:val="32"/>
        </w:rPr>
        <w:t>地温场特征</w:t>
      </w:r>
      <w:proofErr w:type="gramEnd"/>
      <w:r>
        <w:rPr>
          <w:rFonts w:ascii="仿宋_GB2312" w:eastAsia="仿宋_GB2312" w:hAnsi="仿宋_GB2312" w:cs="仿宋_GB2312" w:hint="eastAsia"/>
          <w:color w:val="000000" w:themeColor="text1"/>
          <w:sz w:val="32"/>
          <w:szCs w:val="32"/>
        </w:rPr>
        <w:t>及其演化历史分析；</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中</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新生代</w:t>
      </w:r>
      <w:proofErr w:type="gramStart"/>
      <w:r>
        <w:rPr>
          <w:rFonts w:ascii="仿宋_GB2312" w:eastAsia="仿宋_GB2312" w:hAnsi="仿宋_GB2312" w:cs="仿宋_GB2312" w:hint="eastAsia"/>
          <w:color w:val="000000" w:themeColor="text1"/>
          <w:sz w:val="32"/>
          <w:szCs w:val="32"/>
        </w:rPr>
        <w:t>压力场特征</w:t>
      </w:r>
      <w:proofErr w:type="gramEnd"/>
      <w:r>
        <w:rPr>
          <w:rFonts w:ascii="仿宋_GB2312" w:eastAsia="仿宋_GB2312" w:hAnsi="仿宋_GB2312" w:cs="仿宋_GB2312" w:hint="eastAsia"/>
          <w:color w:val="000000" w:themeColor="text1"/>
          <w:sz w:val="32"/>
          <w:szCs w:val="32"/>
        </w:rPr>
        <w:t>及其演化历史分析；</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w:t>
      </w:r>
      <w:proofErr w:type="gramStart"/>
      <w:r>
        <w:rPr>
          <w:rFonts w:ascii="仿宋_GB2312" w:eastAsia="仿宋_GB2312" w:hAnsi="仿宋_GB2312" w:cs="仿宋_GB2312" w:hint="eastAsia"/>
          <w:color w:val="000000" w:themeColor="text1"/>
          <w:sz w:val="32"/>
          <w:szCs w:val="32"/>
        </w:rPr>
        <w:t>埋藏史</w:t>
      </w:r>
      <w:bookmarkStart w:id="0" w:name="_GoBack"/>
      <w:bookmarkEnd w:id="0"/>
      <w:proofErr w:type="gramEnd"/>
      <w:r>
        <w:rPr>
          <w:rFonts w:ascii="仿宋_GB2312" w:eastAsia="仿宋_GB2312" w:hAnsi="仿宋_GB2312" w:cs="仿宋_GB2312" w:hint="eastAsia"/>
          <w:color w:val="000000" w:themeColor="text1"/>
          <w:sz w:val="32"/>
          <w:szCs w:val="32"/>
        </w:rPr>
        <w:t>与热史重建；</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古地温演化与页岩油成藏关系研究。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提供不同类型热史指标的所有原始分析测试报告；</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解剖</w:t>
      </w:r>
      <w:r>
        <w:rPr>
          <w:rFonts w:ascii="仿宋_GB2312" w:eastAsia="仿宋_GB2312" w:hAnsi="仿宋_GB2312" w:cs="仿宋_GB2312" w:hint="eastAsia"/>
          <w:color w:val="000000" w:themeColor="text1"/>
          <w:sz w:val="32"/>
          <w:szCs w:val="32"/>
        </w:rPr>
        <w:t>3-5</w:t>
      </w:r>
      <w:r>
        <w:rPr>
          <w:rFonts w:ascii="仿宋_GB2312" w:eastAsia="仿宋_GB2312" w:hAnsi="仿宋_GB2312" w:cs="仿宋_GB2312" w:hint="eastAsia"/>
          <w:color w:val="000000" w:themeColor="text1"/>
          <w:sz w:val="32"/>
          <w:szCs w:val="32"/>
        </w:rPr>
        <w:t>个典型油层温度、</w:t>
      </w:r>
      <w:proofErr w:type="gramStart"/>
      <w:r>
        <w:rPr>
          <w:rFonts w:ascii="仿宋_GB2312" w:eastAsia="仿宋_GB2312" w:hAnsi="仿宋_GB2312" w:cs="仿宋_GB2312" w:hint="eastAsia"/>
          <w:color w:val="000000" w:themeColor="text1"/>
          <w:sz w:val="32"/>
          <w:szCs w:val="32"/>
        </w:rPr>
        <w:t>压力场</w:t>
      </w:r>
      <w:proofErr w:type="gramEnd"/>
      <w:r>
        <w:rPr>
          <w:rFonts w:ascii="仿宋_GB2312" w:eastAsia="仿宋_GB2312" w:hAnsi="仿宋_GB2312" w:cs="仿宋_GB2312" w:hint="eastAsia"/>
          <w:color w:val="000000" w:themeColor="text1"/>
          <w:sz w:val="32"/>
          <w:szCs w:val="32"/>
        </w:rPr>
        <w:t>特征；</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建立古龙页岩油温度场及热史演化分析技术方法；</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建立古龙页岩油压力场及演化模拟的技术方法；</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发表高水平论文</w:t>
      </w:r>
      <w:r>
        <w:rPr>
          <w:rFonts w:ascii="仿宋_GB2312" w:eastAsia="仿宋_GB2312" w:hAnsi="仿宋_GB2312" w:cs="仿宋_GB2312" w:hint="eastAsia"/>
          <w:color w:val="000000" w:themeColor="text1"/>
          <w:sz w:val="32"/>
          <w:szCs w:val="32"/>
        </w:rPr>
        <w:t>3-5</w:t>
      </w:r>
      <w:r>
        <w:rPr>
          <w:rFonts w:ascii="仿宋_GB2312" w:eastAsia="仿宋_GB2312" w:hAnsi="仿宋_GB2312" w:cs="仿宋_GB2312" w:hint="eastAsia"/>
          <w:color w:val="000000" w:themeColor="text1"/>
          <w:sz w:val="32"/>
          <w:szCs w:val="32"/>
        </w:rPr>
        <w:t>篇。</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具有丰富的从事温压场研究的科研经历，开展过松辽盆地或者相似盆地温压场和页岩油气成藏研究工作；</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具有国家或者省部级重点实验室的研究平台，具备能够支撑温压场研究、页岩油气研究的大型仪器和设备。</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480</w:t>
      </w:r>
      <w:r>
        <w:rPr>
          <w:rFonts w:ascii="仿宋_GB2312" w:eastAsia="仿宋_GB2312" w:hAnsi="仿宋_GB2312" w:cs="仿宋_GB2312" w:hint="eastAsia"/>
          <w:color w:val="000000" w:themeColor="text1"/>
          <w:sz w:val="32"/>
          <w:szCs w:val="32"/>
        </w:rPr>
        <w:t>万元</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02"/>
        <w:rPr>
          <w:rFonts w:ascii="黑体" w:eastAsia="黑体" w:hAnsi="黑体" w:cs="黑体"/>
          <w:b/>
          <w:color w:val="000000" w:themeColor="text1"/>
          <w:sz w:val="30"/>
          <w:szCs w:val="30"/>
        </w:rPr>
      </w:pPr>
    </w:p>
    <w:p w:rsidR="00275B30" w:rsidRDefault="00AB1B6F">
      <w:pPr>
        <w:spacing w:line="560" w:lineRule="exact"/>
        <w:ind w:firstLineChars="200" w:firstLine="643"/>
        <w:rPr>
          <w:rFonts w:ascii="仿宋_GB2312" w:eastAsia="仿宋_GB2312" w:hAnsi="仿宋_GB2312" w:cs="仿宋_GB2312"/>
          <w:b/>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2</w:t>
      </w:r>
      <w:r>
        <w:rPr>
          <w:rFonts w:ascii="黑体" w:eastAsia="黑体" w:hAnsi="黑体" w:cs="黑体" w:hint="eastAsia"/>
          <w:b/>
          <w:color w:val="000000" w:themeColor="text1"/>
          <w:sz w:val="32"/>
          <w:szCs w:val="32"/>
        </w:rPr>
        <w:t>：古龙页岩油提高采收率关键问题研究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古龙页岩油主要的开发技术手段是大规模水平井体积压裂，但存在一次采出程度低（</w:t>
      </w:r>
      <w:r>
        <w:rPr>
          <w:rFonts w:ascii="仿宋_GB2312" w:eastAsia="仿宋_GB2312" w:hAnsi="仿宋_GB2312" w:cs="仿宋_GB2312" w:hint="eastAsia"/>
          <w:color w:val="000000" w:themeColor="text1"/>
          <w:sz w:val="32"/>
          <w:szCs w:val="32"/>
        </w:rPr>
        <w:t>6-8%</w:t>
      </w:r>
      <w:r>
        <w:rPr>
          <w:rFonts w:ascii="仿宋_GB2312" w:eastAsia="仿宋_GB2312" w:hAnsi="仿宋_GB2312" w:cs="仿宋_GB2312" w:hint="eastAsia"/>
          <w:color w:val="000000" w:themeColor="text1"/>
          <w:sz w:val="32"/>
          <w:szCs w:val="32"/>
        </w:rPr>
        <w:t>），产量递减快等问题，</w:t>
      </w:r>
      <w:r>
        <w:rPr>
          <w:rFonts w:ascii="仿宋_GB2312" w:eastAsia="仿宋_GB2312" w:hAnsi="仿宋_GB2312" w:cs="仿宋_GB2312" w:hint="eastAsia"/>
          <w:color w:val="000000" w:themeColor="text1"/>
          <w:sz w:val="32"/>
          <w:szCs w:val="32"/>
        </w:rPr>
        <w:lastRenderedPageBreak/>
        <w:t>亟需攻关赋存状态、动用机理与注气开发提高采收率技术，优选最佳钻井液体系，实现高效开发。</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古龙页岩油多尺度赋存状态控制因素与动用机理；</w:t>
      </w:r>
    </w:p>
    <w:p w:rsidR="00275B30" w:rsidRDefault="00AB1B6F">
      <w:pPr>
        <w:adjustRightInd w:val="0"/>
        <w:snapToGrid w:val="0"/>
        <w:spacing w:line="560" w:lineRule="exact"/>
        <w:ind w:leftChars="8" w:left="17" w:firstLineChars="183" w:firstLine="586"/>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w:t>
      </w:r>
      <w:r>
        <w:rPr>
          <w:rFonts w:ascii="仿宋_GB2312" w:eastAsia="仿宋_GB2312" w:hAnsi="仿宋_GB2312" w:cs="仿宋_GB2312" w:hint="eastAsia"/>
          <w:color w:val="000000" w:themeColor="text1"/>
          <w:sz w:val="32"/>
          <w:szCs w:val="32"/>
        </w:rPr>
        <w:t>CO</w:t>
      </w:r>
      <w:r>
        <w:rPr>
          <w:rFonts w:ascii="仿宋_GB2312" w:eastAsia="仿宋_GB2312" w:hAnsi="仿宋_GB2312" w:cs="仿宋_GB2312" w:hint="eastAsia"/>
          <w:color w:val="000000" w:themeColor="text1"/>
          <w:sz w:val="32"/>
          <w:szCs w:val="32"/>
          <w:vertAlign w:val="subscript"/>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烃类气提高采收率机理及优化研究；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环保型双疏高效能</w:t>
      </w:r>
      <w:proofErr w:type="gramEnd"/>
      <w:r>
        <w:rPr>
          <w:rFonts w:ascii="仿宋_GB2312" w:eastAsia="仿宋_GB2312" w:hAnsi="仿宋_GB2312" w:cs="仿宋_GB2312" w:hint="eastAsia"/>
          <w:color w:val="000000" w:themeColor="text1"/>
          <w:sz w:val="32"/>
          <w:szCs w:val="32"/>
        </w:rPr>
        <w:t>水基钻井液体系研究；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页岩油压后试油解释评价方法研究。</w:t>
      </w:r>
    </w:p>
    <w:p w:rsidR="00275B30" w:rsidRDefault="00AB1B6F">
      <w:pPr>
        <w:adjustRightInd w:val="0"/>
        <w:snapToGrid w:val="0"/>
        <w:spacing w:line="560" w:lineRule="exact"/>
        <w:ind w:leftChars="8" w:left="17" w:firstLineChars="183" w:firstLine="586"/>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明确古</w:t>
      </w:r>
      <w:proofErr w:type="gramEnd"/>
      <w:r>
        <w:rPr>
          <w:rFonts w:ascii="仿宋_GB2312" w:eastAsia="仿宋_GB2312" w:hAnsi="仿宋_GB2312" w:cs="仿宋_GB2312" w:hint="eastAsia"/>
          <w:color w:val="000000" w:themeColor="text1"/>
          <w:sz w:val="32"/>
          <w:szCs w:val="32"/>
        </w:rPr>
        <w:t>龙页岩油赋存特征与微观动用机制；</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明确古</w:t>
      </w:r>
      <w:proofErr w:type="gramEnd"/>
      <w:r>
        <w:rPr>
          <w:rFonts w:ascii="仿宋_GB2312" w:eastAsia="仿宋_GB2312" w:hAnsi="仿宋_GB2312" w:cs="仿宋_GB2312" w:hint="eastAsia"/>
          <w:color w:val="000000" w:themeColor="text1"/>
          <w:sz w:val="32"/>
          <w:szCs w:val="32"/>
        </w:rPr>
        <w:t>龙页岩油注气开发最佳参数；</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钻井成本</w:t>
      </w:r>
      <w:proofErr w:type="gramStart"/>
      <w:r>
        <w:rPr>
          <w:rFonts w:ascii="仿宋_GB2312" w:eastAsia="仿宋_GB2312" w:hAnsi="仿宋_GB2312" w:cs="仿宋_GB2312" w:hint="eastAsia"/>
          <w:color w:val="000000" w:themeColor="text1"/>
          <w:sz w:val="32"/>
          <w:szCs w:val="32"/>
        </w:rPr>
        <w:t>单井较油基钻井液</w:t>
      </w:r>
      <w:proofErr w:type="gramEnd"/>
      <w:r>
        <w:rPr>
          <w:rFonts w:ascii="仿宋_GB2312" w:eastAsia="仿宋_GB2312" w:hAnsi="仿宋_GB2312" w:cs="仿宋_GB2312" w:hint="eastAsia"/>
          <w:color w:val="000000" w:themeColor="text1"/>
          <w:sz w:val="32"/>
          <w:szCs w:val="32"/>
        </w:rPr>
        <w:t>降低</w:t>
      </w:r>
      <w:r>
        <w:rPr>
          <w:rFonts w:ascii="仿宋_GB2312" w:eastAsia="仿宋_GB2312" w:hAnsi="仿宋_GB2312" w:cs="仿宋_GB2312" w:hint="eastAsia"/>
          <w:color w:val="000000" w:themeColor="text1"/>
          <w:sz w:val="32"/>
          <w:szCs w:val="32"/>
        </w:rPr>
        <w:t>40%</w:t>
      </w:r>
      <w:r>
        <w:rPr>
          <w:rFonts w:ascii="仿宋_GB2312" w:eastAsia="仿宋_GB2312" w:hAnsi="仿宋_GB2312" w:cs="仿宋_GB2312" w:hint="eastAsia"/>
          <w:color w:val="000000" w:themeColor="text1"/>
          <w:sz w:val="32"/>
          <w:szCs w:val="32"/>
        </w:rPr>
        <w:t>以上；</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形成页岩油井压后开发参数解释评价方法，指导试油求产制度较以往产能提高</w:t>
      </w:r>
      <w:r>
        <w:rPr>
          <w:rFonts w:ascii="仿宋_GB2312" w:eastAsia="仿宋_GB2312" w:hAnsi="仿宋_GB2312" w:cs="仿宋_GB2312" w:hint="eastAsia"/>
          <w:color w:val="000000" w:themeColor="text1"/>
          <w:sz w:val="32"/>
          <w:szCs w:val="32"/>
        </w:rPr>
        <w:t>10%</w:t>
      </w:r>
      <w:r>
        <w:rPr>
          <w:rFonts w:ascii="仿宋_GB2312" w:eastAsia="仿宋_GB2312" w:hAnsi="仿宋_GB2312" w:cs="仿宋_GB2312" w:hint="eastAsia"/>
          <w:color w:val="000000" w:themeColor="text1"/>
          <w:sz w:val="32"/>
          <w:szCs w:val="32"/>
        </w:rPr>
        <w:t>以上。</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拥有国家重点实验室及涵盖研究内容所需的实验装备及软件方法；</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拥有页岩油开发基础研究领域国家或省部级重大科技专项的承担经验。</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1200</w:t>
      </w:r>
      <w:r>
        <w:rPr>
          <w:rFonts w:ascii="仿宋_GB2312" w:eastAsia="仿宋_GB2312" w:hAnsi="仿宋_GB2312" w:cs="仿宋_GB2312" w:hint="eastAsia"/>
          <w:color w:val="000000" w:themeColor="text1"/>
          <w:sz w:val="32"/>
          <w:szCs w:val="32"/>
        </w:rPr>
        <w:t>万元</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02"/>
        <w:rPr>
          <w:rFonts w:ascii="黑体" w:eastAsia="黑体" w:hAnsi="黑体" w:cs="黑体"/>
          <w:b/>
          <w:color w:val="000000" w:themeColor="text1"/>
          <w:sz w:val="30"/>
          <w:szCs w:val="30"/>
        </w:rPr>
      </w:pPr>
    </w:p>
    <w:p w:rsidR="00275B30" w:rsidRDefault="00AB1B6F">
      <w:pPr>
        <w:spacing w:line="560" w:lineRule="exact"/>
        <w:ind w:firstLineChars="200" w:firstLine="643"/>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3</w:t>
      </w:r>
      <w:r>
        <w:rPr>
          <w:rFonts w:ascii="黑体" w:eastAsia="黑体" w:hAnsi="黑体" w:cs="黑体" w:hint="eastAsia"/>
          <w:b/>
          <w:color w:val="000000" w:themeColor="text1"/>
          <w:sz w:val="32"/>
          <w:szCs w:val="32"/>
        </w:rPr>
        <w:t>：古龙页岩滞留成藏机制及资源评价系统研发</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古龙页岩油的生油、滞油、排油机</w:t>
      </w:r>
      <w:proofErr w:type="gramStart"/>
      <w:r>
        <w:rPr>
          <w:rFonts w:ascii="仿宋_GB2312" w:eastAsia="仿宋_GB2312" w:hAnsi="仿宋_GB2312" w:cs="仿宋_GB2312" w:hint="eastAsia"/>
          <w:color w:val="000000" w:themeColor="text1"/>
          <w:sz w:val="32"/>
          <w:szCs w:val="32"/>
        </w:rPr>
        <w:t>理认识</w:t>
      </w:r>
      <w:proofErr w:type="gramEnd"/>
      <w:r>
        <w:rPr>
          <w:rFonts w:ascii="仿宋_GB2312" w:eastAsia="仿宋_GB2312" w:hAnsi="仿宋_GB2312" w:cs="仿宋_GB2312" w:hint="eastAsia"/>
          <w:color w:val="000000" w:themeColor="text1"/>
          <w:sz w:val="32"/>
          <w:szCs w:val="32"/>
        </w:rPr>
        <w:t>不清楚，滞留成藏机制、富集关键参数不明确，缺少可靠的资源评价系统，严重制约了勘探认识和开发选区评价。</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古龙页岩有机质成烃演化机制研究；</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页岩油全组分</w:t>
      </w:r>
      <w:proofErr w:type="gramEnd"/>
      <w:r>
        <w:rPr>
          <w:rFonts w:ascii="仿宋_GB2312" w:eastAsia="仿宋_GB2312" w:hAnsi="仿宋_GB2312" w:cs="仿宋_GB2312" w:hint="eastAsia"/>
          <w:color w:val="000000" w:themeColor="text1"/>
          <w:sz w:val="32"/>
          <w:szCs w:val="32"/>
        </w:rPr>
        <w:t>演化研究；</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古龙页岩含油饱和度差异演化机理研究；</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页岩油滞留成藏、富集耦合机制研究；</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页岩油资源评价系统研发。</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建立古龙页岩油生烃演化模式；</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明确古</w:t>
      </w:r>
      <w:proofErr w:type="gramEnd"/>
      <w:r>
        <w:rPr>
          <w:rFonts w:ascii="仿宋_GB2312" w:eastAsia="仿宋_GB2312" w:hAnsi="仿宋_GB2312" w:cs="仿宋_GB2312" w:hint="eastAsia"/>
          <w:color w:val="000000" w:themeColor="text1"/>
          <w:sz w:val="32"/>
          <w:szCs w:val="32"/>
        </w:rPr>
        <w:t>龙</w:t>
      </w:r>
      <w:proofErr w:type="gramStart"/>
      <w:r>
        <w:rPr>
          <w:rFonts w:ascii="仿宋_GB2312" w:eastAsia="仿宋_GB2312" w:hAnsi="仿宋_GB2312" w:cs="仿宋_GB2312" w:hint="eastAsia"/>
          <w:color w:val="000000" w:themeColor="text1"/>
          <w:sz w:val="32"/>
          <w:szCs w:val="32"/>
        </w:rPr>
        <w:t>页岩油全组</w:t>
      </w:r>
      <w:proofErr w:type="gramEnd"/>
      <w:r>
        <w:rPr>
          <w:rFonts w:ascii="仿宋_GB2312" w:eastAsia="仿宋_GB2312" w:hAnsi="仿宋_GB2312" w:cs="仿宋_GB2312" w:hint="eastAsia"/>
          <w:color w:val="000000" w:themeColor="text1"/>
          <w:sz w:val="32"/>
          <w:szCs w:val="32"/>
        </w:rPr>
        <w:t>分特征及赋存状态；</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建立不同成熟度页岩含油饱和度演化模式；</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建立页岩油动态富集模式；</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研发</w:t>
      </w:r>
      <w:proofErr w:type="gramStart"/>
      <w:r>
        <w:rPr>
          <w:rFonts w:ascii="仿宋_GB2312" w:eastAsia="仿宋_GB2312" w:hAnsi="仿宋_GB2312" w:cs="仿宋_GB2312" w:hint="eastAsia"/>
          <w:color w:val="000000" w:themeColor="text1"/>
          <w:sz w:val="32"/>
          <w:szCs w:val="32"/>
        </w:rPr>
        <w:t>中高熟陆相</w:t>
      </w:r>
      <w:proofErr w:type="gramEnd"/>
      <w:r>
        <w:rPr>
          <w:rFonts w:ascii="仿宋_GB2312" w:eastAsia="仿宋_GB2312" w:hAnsi="仿宋_GB2312" w:cs="仿宋_GB2312" w:hint="eastAsia"/>
          <w:color w:val="000000" w:themeColor="text1"/>
          <w:sz w:val="32"/>
          <w:szCs w:val="32"/>
        </w:rPr>
        <w:t>页岩油资源评价系统</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套。</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承担页岩油有关的国家自然科学基金、国家</w:t>
      </w:r>
      <w:r>
        <w:rPr>
          <w:rFonts w:ascii="仿宋_GB2312" w:eastAsia="仿宋_GB2312" w:hAnsi="仿宋_GB2312" w:cs="仿宋_GB2312" w:hint="eastAsia"/>
          <w:color w:val="000000" w:themeColor="text1"/>
          <w:sz w:val="32"/>
          <w:szCs w:val="32"/>
        </w:rPr>
        <w:t>973</w:t>
      </w:r>
      <w:r>
        <w:rPr>
          <w:rFonts w:ascii="仿宋_GB2312" w:eastAsia="仿宋_GB2312" w:hAnsi="仿宋_GB2312" w:cs="仿宋_GB2312" w:hint="eastAsia"/>
          <w:color w:val="000000" w:themeColor="text1"/>
          <w:sz w:val="32"/>
          <w:szCs w:val="32"/>
        </w:rPr>
        <w:t>、重大</w:t>
      </w:r>
      <w:proofErr w:type="gramStart"/>
      <w:r>
        <w:rPr>
          <w:rFonts w:ascii="仿宋_GB2312" w:eastAsia="仿宋_GB2312" w:hAnsi="仿宋_GB2312" w:cs="仿宋_GB2312" w:hint="eastAsia"/>
          <w:color w:val="000000" w:themeColor="text1"/>
          <w:sz w:val="32"/>
          <w:szCs w:val="32"/>
        </w:rPr>
        <w:t>专项等</w:t>
      </w:r>
      <w:proofErr w:type="gramEnd"/>
      <w:r>
        <w:rPr>
          <w:rFonts w:ascii="仿宋_GB2312" w:eastAsia="仿宋_GB2312" w:hAnsi="仿宋_GB2312" w:cs="仿宋_GB2312" w:hint="eastAsia"/>
          <w:color w:val="000000" w:themeColor="text1"/>
          <w:sz w:val="32"/>
          <w:szCs w:val="32"/>
        </w:rPr>
        <w:t>国家级项目</w:t>
      </w:r>
      <w:r>
        <w:rPr>
          <w:rFonts w:ascii="仿宋_GB2312" w:eastAsia="仿宋_GB2312" w:hAnsi="仿宋_GB2312" w:cs="仿宋_GB2312" w:hint="eastAsia"/>
          <w:color w:val="000000" w:themeColor="text1"/>
          <w:sz w:val="32"/>
          <w:szCs w:val="32"/>
        </w:rPr>
        <w:t>10</w:t>
      </w:r>
      <w:r>
        <w:rPr>
          <w:rFonts w:ascii="仿宋_GB2312" w:eastAsia="仿宋_GB2312" w:hAnsi="仿宋_GB2312" w:cs="仿宋_GB2312" w:hint="eastAsia"/>
          <w:color w:val="000000" w:themeColor="text1"/>
          <w:sz w:val="32"/>
          <w:szCs w:val="32"/>
        </w:rPr>
        <w:t>项以上，油公司合作项目</w:t>
      </w:r>
      <w:r>
        <w:rPr>
          <w:rFonts w:ascii="仿宋_GB2312" w:eastAsia="仿宋_GB2312" w:hAnsi="仿宋_GB2312" w:cs="仿宋_GB2312" w:hint="eastAsia"/>
          <w:color w:val="000000" w:themeColor="text1"/>
          <w:sz w:val="32"/>
          <w:szCs w:val="32"/>
        </w:rPr>
        <w:t>10</w:t>
      </w:r>
      <w:r>
        <w:rPr>
          <w:rFonts w:ascii="仿宋_GB2312" w:eastAsia="仿宋_GB2312" w:hAnsi="仿宋_GB2312" w:cs="仿宋_GB2312" w:hint="eastAsia"/>
          <w:color w:val="000000" w:themeColor="text1"/>
          <w:sz w:val="32"/>
          <w:szCs w:val="32"/>
        </w:rPr>
        <w:t>项以上；</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技术带头人需具有国家级人才称号和正高级职称；</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拥有省级及以上工程技术研究中心</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重点实验室，可涵盖项目从微观到宏观分析的需求；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获得过与页岩油有关的省部级以上科技进步奖。</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660</w:t>
      </w:r>
      <w:r>
        <w:rPr>
          <w:rFonts w:ascii="仿宋_GB2312" w:eastAsia="仿宋_GB2312" w:hAnsi="仿宋_GB2312" w:cs="仿宋_GB2312" w:hint="eastAsia"/>
          <w:color w:val="000000" w:themeColor="text1"/>
          <w:sz w:val="32"/>
          <w:szCs w:val="32"/>
        </w:rPr>
        <w:t>万元</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仿宋_GB2312" w:eastAsia="仿宋_GB2312" w:hAnsi="仿宋_GB2312" w:cs="仿宋_GB2312"/>
          <w:color w:val="000000" w:themeColor="text1"/>
          <w:spacing w:val="-6"/>
          <w:sz w:val="32"/>
          <w:szCs w:val="32"/>
        </w:rPr>
      </w:pPr>
      <w:r>
        <w:rPr>
          <w:rFonts w:ascii="楷体_GB2312" w:eastAsia="楷体_GB2312" w:hAnsi="楷体_GB2312" w:cs="楷体_GB2312" w:hint="eastAsia"/>
          <w:b/>
          <w:bCs/>
          <w:color w:val="000000" w:themeColor="text1"/>
          <w:sz w:val="32"/>
          <w:szCs w:val="32"/>
        </w:rPr>
        <w:lastRenderedPageBreak/>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16"/>
        <w:rPr>
          <w:rFonts w:ascii="仿宋_GB2312" w:eastAsia="仿宋_GB2312" w:hAnsi="仿宋_GB2312" w:cs="仿宋_GB2312"/>
          <w:color w:val="000000" w:themeColor="text1"/>
          <w:spacing w:val="-6"/>
          <w:sz w:val="32"/>
          <w:szCs w:val="32"/>
        </w:rPr>
      </w:pPr>
    </w:p>
    <w:p w:rsidR="00275B30" w:rsidRDefault="00AB1B6F">
      <w:pPr>
        <w:spacing w:line="560" w:lineRule="exact"/>
        <w:ind w:firstLineChars="200" w:firstLine="618"/>
        <w:rPr>
          <w:rFonts w:ascii="黑体" w:eastAsia="黑体" w:hAnsi="黑体" w:cs="黑体"/>
          <w:b/>
          <w:color w:val="000000" w:themeColor="text1"/>
          <w:spacing w:val="-6"/>
          <w:sz w:val="32"/>
          <w:szCs w:val="32"/>
        </w:rPr>
      </w:pPr>
      <w:r>
        <w:rPr>
          <w:rFonts w:ascii="黑体" w:eastAsia="黑体" w:hAnsi="黑体" w:cs="黑体" w:hint="eastAsia"/>
          <w:b/>
          <w:color w:val="000000" w:themeColor="text1"/>
          <w:spacing w:val="-6"/>
          <w:sz w:val="32"/>
          <w:szCs w:val="32"/>
        </w:rPr>
        <w:t>项目</w:t>
      </w:r>
      <w:r>
        <w:rPr>
          <w:rFonts w:ascii="黑体" w:eastAsia="黑体" w:hAnsi="黑体" w:cs="黑体" w:hint="eastAsia"/>
          <w:b/>
          <w:color w:val="000000" w:themeColor="text1"/>
          <w:spacing w:val="-6"/>
          <w:sz w:val="32"/>
          <w:szCs w:val="32"/>
        </w:rPr>
        <w:t>4</w:t>
      </w:r>
      <w:r>
        <w:rPr>
          <w:rFonts w:ascii="黑体" w:eastAsia="黑体" w:hAnsi="黑体" w:cs="黑体" w:hint="eastAsia"/>
          <w:b/>
          <w:color w:val="000000" w:themeColor="text1"/>
          <w:spacing w:val="-6"/>
          <w:sz w:val="32"/>
          <w:szCs w:val="32"/>
        </w:rPr>
        <w:t>：古龙页岩油气藏多场耦合数学模型建立及模拟器研制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古龙页岩油水平页理十分发育，孔隙尺度有纳米和微米级，微观非均质性质强。多相流体的输运受控于</w:t>
      </w:r>
      <w:proofErr w:type="gramStart"/>
      <w:r>
        <w:rPr>
          <w:rFonts w:ascii="仿宋_GB2312" w:eastAsia="仿宋_GB2312" w:hAnsi="仿宋_GB2312" w:cs="仿宋_GB2312" w:hint="eastAsia"/>
          <w:color w:val="000000" w:themeColor="text1"/>
          <w:sz w:val="32"/>
          <w:szCs w:val="32"/>
        </w:rPr>
        <w:t>各向异性流固耦合</w:t>
      </w:r>
      <w:proofErr w:type="gramEnd"/>
      <w:r>
        <w:rPr>
          <w:rFonts w:ascii="仿宋_GB2312" w:eastAsia="仿宋_GB2312" w:hAnsi="仿宋_GB2312" w:cs="仿宋_GB2312" w:hint="eastAsia"/>
          <w:color w:val="000000" w:themeColor="text1"/>
          <w:sz w:val="32"/>
          <w:szCs w:val="32"/>
        </w:rPr>
        <w:t>、相态变化、孔隙</w:t>
      </w:r>
      <w:proofErr w:type="gramStart"/>
      <w:r>
        <w:rPr>
          <w:rFonts w:ascii="仿宋_GB2312" w:eastAsia="仿宋_GB2312" w:hAnsi="仿宋_GB2312" w:cs="仿宋_GB2312" w:hint="eastAsia"/>
          <w:color w:val="000000" w:themeColor="text1"/>
          <w:sz w:val="32"/>
          <w:szCs w:val="32"/>
        </w:rPr>
        <w:t>壁面烃气吸</w:t>
      </w:r>
      <w:proofErr w:type="gramEnd"/>
      <w:r>
        <w:rPr>
          <w:rFonts w:ascii="仿宋_GB2312" w:eastAsia="仿宋_GB2312" w:hAnsi="仿宋_GB2312" w:cs="仿宋_GB2312" w:hint="eastAsia"/>
          <w:color w:val="000000" w:themeColor="text1"/>
          <w:sz w:val="32"/>
          <w:szCs w:val="32"/>
        </w:rPr>
        <w:t>附和解吸、孔</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缝间流体渗吸、分子扩散、低速滑脱、高速非达西、热传导等机理，对生产特征和开发规律产生协同影响。效益考虑这些机理，建立多场耦合数学模型并研发油藏模拟器和</w:t>
      </w:r>
      <w:proofErr w:type="gramStart"/>
      <w:r>
        <w:rPr>
          <w:rFonts w:ascii="仿宋_GB2312" w:eastAsia="仿宋_GB2312" w:hAnsi="仿宋_GB2312" w:cs="仿宋_GB2312" w:hint="eastAsia"/>
          <w:color w:val="000000" w:themeColor="text1"/>
          <w:sz w:val="32"/>
          <w:szCs w:val="32"/>
        </w:rPr>
        <w:t>压裂正</w:t>
      </w:r>
      <w:proofErr w:type="gramEnd"/>
      <w:r>
        <w:rPr>
          <w:rFonts w:ascii="仿宋_GB2312" w:eastAsia="仿宋_GB2312" w:hAnsi="仿宋_GB2312" w:cs="仿宋_GB2312" w:hint="eastAsia"/>
          <w:color w:val="000000" w:themeColor="text1"/>
          <w:sz w:val="32"/>
          <w:szCs w:val="32"/>
        </w:rPr>
        <w:t>演模拟软件，精准指导开发设计和优化。</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古龙页岩油气藏多场耦合数学模型的建立；</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古龙页岩油气藏模拟器与</w:t>
      </w:r>
      <w:proofErr w:type="gramStart"/>
      <w:r>
        <w:rPr>
          <w:rFonts w:ascii="仿宋_GB2312" w:eastAsia="仿宋_GB2312" w:hAnsi="仿宋_GB2312" w:cs="仿宋_GB2312" w:hint="eastAsia"/>
          <w:color w:val="000000" w:themeColor="text1"/>
          <w:sz w:val="32"/>
          <w:szCs w:val="32"/>
        </w:rPr>
        <w:t>压裂正</w:t>
      </w:r>
      <w:proofErr w:type="gramEnd"/>
      <w:r>
        <w:rPr>
          <w:rFonts w:ascii="仿宋_GB2312" w:eastAsia="仿宋_GB2312" w:hAnsi="仿宋_GB2312" w:cs="仿宋_GB2312" w:hint="eastAsia"/>
          <w:color w:val="000000" w:themeColor="text1"/>
          <w:sz w:val="32"/>
          <w:szCs w:val="32"/>
        </w:rPr>
        <w:t>演模拟软件的研制；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基于压裂</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返排</w:t>
      </w:r>
      <w:proofErr w:type="gramEnd"/>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生产模拟的开发方案优化软件研制。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基于数学模型建立的油气藏模拟器可与</w:t>
      </w:r>
      <w:r>
        <w:rPr>
          <w:rFonts w:ascii="仿宋_GB2312" w:eastAsia="仿宋_GB2312" w:hAnsi="仿宋_GB2312" w:cs="仿宋_GB2312" w:hint="eastAsia"/>
          <w:color w:val="000000" w:themeColor="text1"/>
          <w:sz w:val="32"/>
          <w:szCs w:val="32"/>
        </w:rPr>
        <w:t>RESCUE</w:t>
      </w:r>
      <w:r>
        <w:rPr>
          <w:rFonts w:ascii="仿宋_GB2312" w:eastAsia="仿宋_GB2312" w:hAnsi="仿宋_GB2312" w:cs="仿宋_GB2312" w:hint="eastAsia"/>
          <w:color w:val="000000" w:themeColor="text1"/>
          <w:sz w:val="32"/>
          <w:szCs w:val="32"/>
        </w:rPr>
        <w:t>格式地质建模结果衔接；可衔接斯伦贝谢</w:t>
      </w:r>
      <w:r>
        <w:rPr>
          <w:rFonts w:ascii="仿宋_GB2312" w:eastAsia="仿宋_GB2312" w:hAnsi="仿宋_GB2312" w:cs="仿宋_GB2312" w:hint="eastAsia"/>
          <w:color w:val="000000" w:themeColor="text1"/>
          <w:sz w:val="32"/>
          <w:szCs w:val="32"/>
        </w:rPr>
        <w:t>VISAGE</w:t>
      </w:r>
      <w:r>
        <w:rPr>
          <w:rFonts w:ascii="仿宋_GB2312" w:eastAsia="仿宋_GB2312" w:hAnsi="仿宋_GB2312" w:cs="仿宋_GB2312" w:hint="eastAsia"/>
          <w:color w:val="000000" w:themeColor="text1"/>
          <w:sz w:val="32"/>
          <w:szCs w:val="32"/>
        </w:rPr>
        <w:t>岩石力学模拟器，支持在已有天然裂缝分布及页岩</w:t>
      </w:r>
      <w:proofErr w:type="gramStart"/>
      <w:r>
        <w:rPr>
          <w:rFonts w:ascii="仿宋_GB2312" w:eastAsia="仿宋_GB2312" w:hAnsi="仿宋_GB2312" w:cs="仿宋_GB2312" w:hint="eastAsia"/>
          <w:color w:val="000000" w:themeColor="text1"/>
          <w:sz w:val="32"/>
          <w:szCs w:val="32"/>
        </w:rPr>
        <w:t>薄弱面</w:t>
      </w:r>
      <w:proofErr w:type="gramEnd"/>
      <w:r>
        <w:rPr>
          <w:rFonts w:ascii="仿宋_GB2312" w:eastAsia="仿宋_GB2312" w:hAnsi="仿宋_GB2312" w:cs="仿宋_GB2312" w:hint="eastAsia"/>
          <w:color w:val="000000" w:themeColor="text1"/>
          <w:sz w:val="32"/>
          <w:szCs w:val="32"/>
        </w:rPr>
        <w:t>描述下的</w:t>
      </w:r>
      <w:proofErr w:type="gramStart"/>
      <w:r>
        <w:rPr>
          <w:rFonts w:ascii="仿宋_GB2312" w:eastAsia="仿宋_GB2312" w:hAnsi="仿宋_GB2312" w:cs="仿宋_GB2312" w:hint="eastAsia"/>
          <w:color w:val="000000" w:themeColor="text1"/>
          <w:sz w:val="32"/>
          <w:szCs w:val="32"/>
        </w:rPr>
        <w:t>复杂缝网生</w:t>
      </w:r>
      <w:proofErr w:type="gramEnd"/>
      <w:r>
        <w:rPr>
          <w:rFonts w:ascii="仿宋_GB2312" w:eastAsia="仿宋_GB2312" w:hAnsi="仿宋_GB2312" w:cs="仿宋_GB2312" w:hint="eastAsia"/>
          <w:color w:val="000000" w:themeColor="text1"/>
          <w:sz w:val="32"/>
          <w:szCs w:val="32"/>
        </w:rPr>
        <w:t>成模拟，结果可以直接用于古龙页岩油气藏模拟器；</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开发方案优化软件</w:t>
      </w:r>
      <w:proofErr w:type="gramStart"/>
      <w:r>
        <w:rPr>
          <w:rFonts w:ascii="仿宋_GB2312" w:eastAsia="仿宋_GB2312" w:hAnsi="仿宋_GB2312" w:cs="仿宋_GB2312" w:hint="eastAsia"/>
          <w:color w:val="000000" w:themeColor="text1"/>
          <w:sz w:val="32"/>
          <w:szCs w:val="32"/>
        </w:rPr>
        <w:t>须支持</w:t>
      </w:r>
      <w:proofErr w:type="gramEnd"/>
      <w:r>
        <w:rPr>
          <w:rFonts w:ascii="仿宋_GB2312" w:eastAsia="仿宋_GB2312" w:hAnsi="仿宋_GB2312" w:cs="仿宋_GB2312" w:hint="eastAsia"/>
          <w:color w:val="000000" w:themeColor="text1"/>
          <w:sz w:val="32"/>
          <w:szCs w:val="32"/>
        </w:rPr>
        <w:t>多参数、多目标、多约束条件的智能优化。</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拥有自主研发的非常规油气藏模拟器和</w:t>
      </w:r>
      <w:proofErr w:type="gramStart"/>
      <w:r>
        <w:rPr>
          <w:rFonts w:ascii="仿宋_GB2312" w:eastAsia="仿宋_GB2312" w:hAnsi="仿宋_GB2312" w:cs="仿宋_GB2312" w:hint="eastAsia"/>
          <w:color w:val="000000" w:themeColor="text1"/>
          <w:sz w:val="32"/>
          <w:szCs w:val="32"/>
        </w:rPr>
        <w:t>压裂正</w:t>
      </w:r>
      <w:proofErr w:type="gramEnd"/>
      <w:r>
        <w:rPr>
          <w:rFonts w:ascii="仿宋_GB2312" w:eastAsia="仿宋_GB2312" w:hAnsi="仿宋_GB2312" w:cs="仿宋_GB2312" w:hint="eastAsia"/>
          <w:color w:val="000000" w:themeColor="text1"/>
          <w:sz w:val="32"/>
          <w:szCs w:val="32"/>
        </w:rPr>
        <w:t>演模拟器软件著作权；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研发成果归甲方所有。</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660</w:t>
      </w:r>
      <w:r>
        <w:rPr>
          <w:rFonts w:ascii="仿宋_GB2312" w:eastAsia="仿宋_GB2312" w:hAnsi="仿宋_GB2312" w:cs="仿宋_GB2312" w:hint="eastAsia"/>
          <w:color w:val="000000" w:themeColor="text1"/>
          <w:sz w:val="32"/>
          <w:szCs w:val="32"/>
        </w:rPr>
        <w:t>万元</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仿宋_GB2312" w:eastAsia="仿宋_GB2312" w:hAnsi="仿宋_GB2312" w:cs="仿宋_GB2312"/>
          <w:color w:val="000000" w:themeColor="text1"/>
          <w:spacing w:val="-6"/>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16"/>
        <w:rPr>
          <w:rFonts w:ascii="仿宋_GB2312" w:eastAsia="仿宋_GB2312" w:hAnsi="仿宋_GB2312" w:cs="仿宋_GB2312"/>
          <w:color w:val="000000" w:themeColor="text1"/>
          <w:spacing w:val="-6"/>
          <w:sz w:val="32"/>
          <w:szCs w:val="32"/>
        </w:rPr>
      </w:pPr>
    </w:p>
    <w:p w:rsidR="00275B30" w:rsidRDefault="00AB1B6F">
      <w:pPr>
        <w:spacing w:line="560" w:lineRule="exact"/>
        <w:ind w:firstLineChars="200" w:firstLine="643"/>
        <w:rPr>
          <w:rFonts w:ascii="仿宋_GB2312" w:eastAsia="仿宋_GB2312" w:hAnsi="仿宋_GB2312" w:cs="仿宋_GB2312"/>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5</w:t>
      </w:r>
      <w:r>
        <w:rPr>
          <w:rFonts w:ascii="黑体" w:eastAsia="黑体" w:hAnsi="黑体" w:cs="黑体" w:hint="eastAsia"/>
          <w:b/>
          <w:color w:val="000000" w:themeColor="text1"/>
          <w:sz w:val="32"/>
          <w:szCs w:val="32"/>
        </w:rPr>
        <w:t>：古龙页岩油赋存状态与富油机理</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古龙页岩油在纳米级微孔中的赋存状态不明确，有效储层下限不清楚。急需开展成熟生油阶段的优质储层主控因素以及油气赋存状态、页岩油富集规律等科学问题研究，为古龙页岩油富集</w:t>
      </w:r>
      <w:proofErr w:type="gramStart"/>
      <w:r>
        <w:rPr>
          <w:rFonts w:ascii="仿宋_GB2312" w:eastAsia="仿宋_GB2312" w:hAnsi="仿宋_GB2312" w:cs="仿宋_GB2312" w:hint="eastAsia"/>
          <w:color w:val="000000" w:themeColor="text1"/>
          <w:sz w:val="32"/>
          <w:szCs w:val="32"/>
        </w:rPr>
        <w:t>层评价</w:t>
      </w:r>
      <w:proofErr w:type="gramEnd"/>
      <w:r>
        <w:rPr>
          <w:rFonts w:ascii="仿宋_GB2312" w:eastAsia="仿宋_GB2312" w:hAnsi="仿宋_GB2312" w:cs="仿宋_GB2312" w:hint="eastAsia"/>
          <w:color w:val="000000" w:themeColor="text1"/>
          <w:sz w:val="32"/>
          <w:szCs w:val="32"/>
        </w:rPr>
        <w:t>和有效预测提供理论依据和技术支撑。</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古龙页岩油赋存状态及演化规律研究；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古龙页岩微观组构定量表征技术研发；</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有机、无机协同成孔机理研究；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古龙页岩油富集机理研究。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w:t>
      </w:r>
      <w:proofErr w:type="gramStart"/>
      <w:r>
        <w:rPr>
          <w:rFonts w:ascii="仿宋_GB2312" w:eastAsia="仿宋_GB2312" w:hAnsi="仿宋_GB2312" w:cs="仿宋_GB2312" w:hint="eastAsia"/>
          <w:color w:val="000000" w:themeColor="text1"/>
          <w:sz w:val="32"/>
          <w:szCs w:val="32"/>
        </w:rPr>
        <w:t>生排烃</w:t>
      </w:r>
      <w:proofErr w:type="gramEnd"/>
      <w:r>
        <w:rPr>
          <w:rFonts w:ascii="仿宋_GB2312" w:eastAsia="仿宋_GB2312" w:hAnsi="仿宋_GB2312" w:cs="仿宋_GB2312" w:hint="eastAsia"/>
          <w:color w:val="000000" w:themeColor="text1"/>
          <w:sz w:val="32"/>
          <w:szCs w:val="32"/>
        </w:rPr>
        <w:t>组分分馏模型及页岩埋藏史、热史、压力史，明确赋存状态演化规律及现今平面分区分带展布；</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研发微观定量表征技术及方法流程，明确有机质在热成熟作用下的显微化学</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力学特征与差异演化；</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研发微纳米孔隙、有机显微组分类型及成熟度的人工</w:t>
      </w:r>
      <w:r>
        <w:rPr>
          <w:rFonts w:ascii="仿宋_GB2312" w:eastAsia="仿宋_GB2312" w:hAnsi="仿宋_GB2312" w:cs="仿宋_GB2312" w:hint="eastAsia"/>
          <w:color w:val="000000" w:themeColor="text1"/>
          <w:sz w:val="32"/>
          <w:szCs w:val="32"/>
        </w:rPr>
        <w:lastRenderedPageBreak/>
        <w:t>智能算法；</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建立页岩油赋存状态定量表征方法；</w:t>
      </w:r>
      <w:proofErr w:type="gramStart"/>
      <w:r>
        <w:rPr>
          <w:rFonts w:ascii="仿宋_GB2312" w:eastAsia="仿宋_GB2312" w:hAnsi="仿宋_GB2312" w:cs="仿宋_GB2312" w:hint="eastAsia"/>
          <w:color w:val="000000" w:themeColor="text1"/>
          <w:sz w:val="32"/>
          <w:szCs w:val="32"/>
        </w:rPr>
        <w:t>明确古</w:t>
      </w:r>
      <w:proofErr w:type="gramEnd"/>
      <w:r>
        <w:rPr>
          <w:rFonts w:ascii="仿宋_GB2312" w:eastAsia="仿宋_GB2312" w:hAnsi="仿宋_GB2312" w:cs="仿宋_GB2312" w:hint="eastAsia"/>
          <w:color w:val="000000" w:themeColor="text1"/>
          <w:sz w:val="32"/>
          <w:szCs w:val="32"/>
        </w:rPr>
        <w:t>龙页岩油富集机理。</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具有丰富的从事温压场研究的科研经历；</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具有国家或者省部级重点实验室的研究平台，具备能够支撑温压场研究、页岩油气研究的大型仪器和设备。</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80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仿宋_GB2312" w:eastAsia="仿宋_GB2312" w:hAnsi="仿宋_GB2312" w:cs="仿宋_GB2312"/>
          <w:color w:val="000000" w:themeColor="text1"/>
          <w:spacing w:val="-6"/>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16"/>
        <w:rPr>
          <w:rFonts w:ascii="仿宋_GB2312" w:eastAsia="仿宋_GB2312" w:hAnsi="仿宋_GB2312" w:cs="仿宋_GB2312"/>
          <w:color w:val="000000" w:themeColor="text1"/>
          <w:spacing w:val="-6"/>
          <w:sz w:val="32"/>
          <w:szCs w:val="32"/>
        </w:rPr>
      </w:pPr>
    </w:p>
    <w:p w:rsidR="00275B30" w:rsidRDefault="00AB1B6F">
      <w:pPr>
        <w:spacing w:line="560" w:lineRule="exact"/>
        <w:ind w:firstLineChars="200" w:firstLine="643"/>
        <w:rPr>
          <w:rFonts w:ascii="仿宋_GB2312" w:eastAsia="仿宋_GB2312" w:hAnsi="仿宋_GB2312" w:cs="仿宋_GB2312"/>
          <w:b/>
          <w:color w:val="000000" w:themeColor="text1"/>
          <w:sz w:val="30"/>
          <w:szCs w:val="30"/>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6</w:t>
      </w:r>
      <w:r>
        <w:rPr>
          <w:rFonts w:ascii="黑体" w:eastAsia="黑体" w:hAnsi="黑体" w:cs="黑体" w:hint="eastAsia"/>
          <w:b/>
          <w:color w:val="000000" w:themeColor="text1"/>
          <w:sz w:val="32"/>
          <w:szCs w:val="32"/>
        </w:rPr>
        <w:t>：古龙页岩油油藏工程理论、</w:t>
      </w:r>
      <w:r>
        <w:rPr>
          <w:rFonts w:ascii="黑体" w:eastAsia="黑体" w:hAnsi="黑体" w:cs="黑体" w:hint="eastAsia"/>
          <w:b/>
          <w:color w:val="000000" w:themeColor="text1"/>
          <w:sz w:val="32"/>
          <w:szCs w:val="32"/>
        </w:rPr>
        <w:t>CO</w:t>
      </w:r>
      <w:r>
        <w:rPr>
          <w:rFonts w:ascii="黑体" w:eastAsia="黑体" w:hAnsi="黑体" w:cs="黑体" w:hint="eastAsia"/>
          <w:b/>
          <w:color w:val="000000" w:themeColor="text1"/>
          <w:sz w:val="32"/>
          <w:szCs w:val="32"/>
          <w:vertAlign w:val="subscript"/>
        </w:rPr>
        <w:t>2</w:t>
      </w:r>
      <w:proofErr w:type="gramStart"/>
      <w:r>
        <w:rPr>
          <w:rFonts w:ascii="黑体" w:eastAsia="黑体" w:hAnsi="黑体" w:cs="黑体" w:hint="eastAsia"/>
          <w:b/>
          <w:color w:val="000000" w:themeColor="text1"/>
          <w:sz w:val="32"/>
          <w:szCs w:val="32"/>
        </w:rPr>
        <w:t>提产机理</w:t>
      </w:r>
      <w:proofErr w:type="gramEnd"/>
      <w:r>
        <w:rPr>
          <w:rFonts w:ascii="黑体" w:eastAsia="黑体" w:hAnsi="黑体" w:cs="黑体" w:hint="eastAsia"/>
          <w:b/>
          <w:color w:val="000000" w:themeColor="text1"/>
          <w:sz w:val="32"/>
          <w:szCs w:val="32"/>
        </w:rPr>
        <w:t>及合理排采制度研究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w:t>
      </w:r>
      <w:proofErr w:type="gramStart"/>
      <w:r>
        <w:rPr>
          <w:rFonts w:ascii="仿宋_GB2312" w:eastAsia="仿宋_GB2312" w:hAnsi="仿宋_GB2312" w:cs="仿宋_GB2312" w:hint="eastAsia"/>
          <w:color w:val="000000" w:themeColor="text1"/>
          <w:sz w:val="32"/>
          <w:szCs w:val="32"/>
        </w:rPr>
        <w:t>油采</w:t>
      </w:r>
      <w:proofErr w:type="gramEnd"/>
      <w:r>
        <w:rPr>
          <w:rFonts w:ascii="仿宋_GB2312" w:eastAsia="仿宋_GB2312" w:hAnsi="仿宋_GB2312" w:cs="仿宋_GB2312" w:hint="eastAsia"/>
          <w:color w:val="000000" w:themeColor="text1"/>
          <w:sz w:val="32"/>
          <w:szCs w:val="32"/>
        </w:rPr>
        <w:t>用“整体动用、立体开发、一次井网、平台部署”箱体开发理念动用，产能预测、开发规律认识不清；压后</w:t>
      </w:r>
      <w:r>
        <w:rPr>
          <w:rFonts w:ascii="仿宋_GB2312" w:eastAsia="仿宋_GB2312" w:hAnsi="仿宋_GB2312" w:cs="仿宋_GB2312" w:hint="eastAsia"/>
          <w:color w:val="000000" w:themeColor="text1"/>
          <w:sz w:val="32"/>
          <w:szCs w:val="32"/>
        </w:rPr>
        <w:t>CO</w:t>
      </w:r>
      <w:r>
        <w:rPr>
          <w:rFonts w:ascii="仿宋_GB2312" w:eastAsia="仿宋_GB2312" w:hAnsi="仿宋_GB2312" w:cs="仿宋_GB2312" w:hint="eastAsia"/>
          <w:color w:val="000000" w:themeColor="text1"/>
          <w:sz w:val="32"/>
          <w:szCs w:val="32"/>
          <w:vertAlign w:val="subscript"/>
        </w:rPr>
        <w:t>2</w:t>
      </w:r>
      <w:proofErr w:type="gramStart"/>
      <w:r>
        <w:rPr>
          <w:rFonts w:ascii="仿宋_GB2312" w:eastAsia="仿宋_GB2312" w:hAnsi="仿宋_GB2312" w:cs="仿宋_GB2312" w:hint="eastAsia"/>
          <w:color w:val="000000" w:themeColor="text1"/>
          <w:sz w:val="32"/>
          <w:szCs w:val="32"/>
        </w:rPr>
        <w:t>提产机理</w:t>
      </w:r>
      <w:proofErr w:type="gramEnd"/>
      <w:r>
        <w:rPr>
          <w:rFonts w:ascii="仿宋_GB2312" w:eastAsia="仿宋_GB2312" w:hAnsi="仿宋_GB2312" w:cs="仿宋_GB2312" w:hint="eastAsia"/>
          <w:color w:val="000000" w:themeColor="text1"/>
          <w:sz w:val="32"/>
          <w:szCs w:val="32"/>
        </w:rPr>
        <w:t>等增产措施等需进一步攻关；高效举升技术及合理排采制度需进一步研究优化。</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高密度页理储层水平井井组产能预测方法研究；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箱体开发立体多层水平井动用井间干扰理论研究；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整体压裂条件下水平井开发动态规律研究；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古龙页岩油生产计算软件开发及产量优化研究；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CO</w:t>
      </w:r>
      <w:r>
        <w:rPr>
          <w:rFonts w:ascii="仿宋_GB2312" w:eastAsia="仿宋_GB2312" w:hAnsi="仿宋_GB2312" w:cs="仿宋_GB2312" w:hint="eastAsia"/>
          <w:color w:val="000000" w:themeColor="text1"/>
          <w:sz w:val="32"/>
          <w:szCs w:val="32"/>
          <w:vertAlign w:val="subscript"/>
        </w:rPr>
        <w:t>2</w:t>
      </w:r>
      <w:r>
        <w:rPr>
          <w:rFonts w:ascii="仿宋_GB2312" w:eastAsia="仿宋_GB2312" w:hAnsi="仿宋_GB2312" w:cs="仿宋_GB2312" w:hint="eastAsia"/>
          <w:color w:val="000000" w:themeColor="text1"/>
          <w:sz w:val="32"/>
          <w:szCs w:val="32"/>
        </w:rPr>
        <w:t>增能助排、渗吸置换提高产能方法及优化研究；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6</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不同流</w:t>
      </w:r>
      <w:proofErr w:type="gramStart"/>
      <w:r>
        <w:rPr>
          <w:rFonts w:ascii="仿宋_GB2312" w:eastAsia="仿宋_GB2312" w:hAnsi="仿宋_GB2312" w:cs="仿宋_GB2312" w:hint="eastAsia"/>
          <w:color w:val="000000" w:themeColor="text1"/>
          <w:sz w:val="32"/>
          <w:szCs w:val="32"/>
        </w:rPr>
        <w:t>压条件</w:t>
      </w:r>
      <w:proofErr w:type="gramEnd"/>
      <w:r>
        <w:rPr>
          <w:rFonts w:ascii="仿宋_GB2312" w:eastAsia="仿宋_GB2312" w:hAnsi="仿宋_GB2312" w:cs="仿宋_GB2312" w:hint="eastAsia"/>
          <w:color w:val="000000" w:themeColor="text1"/>
          <w:sz w:val="32"/>
          <w:szCs w:val="32"/>
        </w:rPr>
        <w:t>产量变化规律与影响因素研究。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建立古龙页岩</w:t>
      </w:r>
      <w:proofErr w:type="gramStart"/>
      <w:r>
        <w:rPr>
          <w:rFonts w:ascii="仿宋_GB2312" w:eastAsia="仿宋_GB2312" w:hAnsi="仿宋_GB2312" w:cs="仿宋_GB2312" w:hint="eastAsia"/>
          <w:color w:val="000000" w:themeColor="text1"/>
          <w:sz w:val="32"/>
          <w:szCs w:val="32"/>
        </w:rPr>
        <w:t>油整体</w:t>
      </w:r>
      <w:proofErr w:type="gramEnd"/>
      <w:r>
        <w:rPr>
          <w:rFonts w:ascii="仿宋_GB2312" w:eastAsia="仿宋_GB2312" w:hAnsi="仿宋_GB2312" w:cs="仿宋_GB2312" w:hint="eastAsia"/>
          <w:color w:val="000000" w:themeColor="text1"/>
          <w:sz w:val="32"/>
          <w:szCs w:val="32"/>
        </w:rPr>
        <w:t>开发油藏工程理论；</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构建</w:t>
      </w:r>
      <w:r>
        <w:rPr>
          <w:rFonts w:ascii="仿宋_GB2312" w:eastAsia="仿宋_GB2312" w:hAnsi="仿宋_GB2312" w:cs="仿宋_GB2312" w:hint="eastAsia"/>
          <w:color w:val="000000" w:themeColor="text1"/>
          <w:sz w:val="32"/>
          <w:szCs w:val="32"/>
        </w:rPr>
        <w:t>CO</w:t>
      </w:r>
      <w:r>
        <w:rPr>
          <w:rFonts w:ascii="仿宋_GB2312" w:eastAsia="仿宋_GB2312" w:hAnsi="仿宋_GB2312" w:cs="仿宋_GB2312" w:hint="eastAsia"/>
          <w:color w:val="000000" w:themeColor="text1"/>
          <w:sz w:val="32"/>
          <w:szCs w:val="32"/>
          <w:vertAlign w:val="subscript"/>
        </w:rPr>
        <w:t>2</w:t>
      </w:r>
      <w:r>
        <w:rPr>
          <w:rFonts w:ascii="仿宋_GB2312" w:eastAsia="仿宋_GB2312" w:hAnsi="仿宋_GB2312" w:cs="仿宋_GB2312" w:hint="eastAsia"/>
          <w:color w:val="000000" w:themeColor="text1"/>
          <w:sz w:val="32"/>
          <w:szCs w:val="32"/>
        </w:rPr>
        <w:t>辅助立体压裂高效开采基础理论；</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明确不同阶段合理工作制度；</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建立单井及井组产能预测模式。</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具有丰富页岩油开发规律科研经历；</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具有非常规油藏地质工程一体化建模数模先进软件</w:t>
      </w:r>
      <w:r>
        <w:rPr>
          <w:rFonts w:ascii="仿宋_GB2312" w:eastAsia="仿宋_GB2312" w:hAnsi="仿宋_GB2312" w:cs="仿宋_GB2312" w:hint="eastAsia"/>
          <w:color w:val="000000" w:themeColor="text1"/>
          <w:sz w:val="32"/>
          <w:szCs w:val="32"/>
        </w:rPr>
        <w:t>；</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在非常规开发领域，拥有丰富研究经验、相关知识产权或论文专著，拥有正高级职称技术带头人。</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20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仿宋_GB2312" w:eastAsia="仿宋_GB2312" w:hAnsi="仿宋_GB2312" w:cs="仿宋_GB2312"/>
          <w:color w:val="000000" w:themeColor="text1"/>
          <w:spacing w:val="-6"/>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16"/>
        <w:rPr>
          <w:rFonts w:ascii="仿宋_GB2312" w:eastAsia="仿宋_GB2312" w:hAnsi="仿宋_GB2312" w:cs="仿宋_GB2312"/>
          <w:color w:val="000000" w:themeColor="text1"/>
          <w:spacing w:val="-6"/>
          <w:sz w:val="32"/>
          <w:szCs w:val="32"/>
        </w:rPr>
      </w:pPr>
    </w:p>
    <w:p w:rsidR="00275B30" w:rsidRDefault="00AB1B6F">
      <w:pPr>
        <w:spacing w:line="560" w:lineRule="exact"/>
        <w:ind w:firstLineChars="200" w:firstLine="602"/>
        <w:rPr>
          <w:rFonts w:ascii="黑体" w:eastAsia="黑体" w:hAnsi="黑体" w:cs="黑体"/>
          <w:b/>
          <w:color w:val="000000" w:themeColor="text1"/>
          <w:sz w:val="30"/>
          <w:szCs w:val="30"/>
        </w:rPr>
      </w:pPr>
      <w:r>
        <w:rPr>
          <w:rFonts w:ascii="黑体" w:eastAsia="黑体" w:hAnsi="黑体" w:cs="黑体" w:hint="eastAsia"/>
          <w:b/>
          <w:color w:val="000000" w:themeColor="text1"/>
          <w:sz w:val="30"/>
          <w:szCs w:val="30"/>
        </w:rPr>
        <w:t>项目</w:t>
      </w:r>
      <w:r>
        <w:rPr>
          <w:rFonts w:ascii="黑体" w:eastAsia="黑体" w:hAnsi="黑体" w:cs="黑体" w:hint="eastAsia"/>
          <w:b/>
          <w:color w:val="000000" w:themeColor="text1"/>
          <w:sz w:val="30"/>
          <w:szCs w:val="30"/>
        </w:rPr>
        <w:t>7</w:t>
      </w:r>
      <w:r>
        <w:rPr>
          <w:rFonts w:ascii="黑体" w:eastAsia="黑体" w:hAnsi="黑体" w:cs="黑体" w:hint="eastAsia"/>
          <w:b/>
          <w:color w:val="000000" w:themeColor="text1"/>
          <w:sz w:val="30"/>
          <w:szCs w:val="30"/>
        </w:rPr>
        <w:t>：古龙页岩油裂缝扩展及压后开采机理研究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需要开展古龙页岩微纳米裂缝扩展机理研究，模拟水力压裂过程中裂缝扩展形态；需要开展古龙页岩油压后微观及宏观尺度下阶梯裂缝渗流机理研究，确定油藏流体在压后裂缝网络中的渗流规律，明确页岩油压后开采机理。</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建立页理缝及纹层状</w:t>
      </w:r>
      <w:proofErr w:type="gramStart"/>
      <w:r>
        <w:rPr>
          <w:rFonts w:ascii="仿宋_GB2312" w:eastAsia="仿宋_GB2312" w:hAnsi="仿宋_GB2312" w:cs="仿宋_GB2312" w:hint="eastAsia"/>
          <w:color w:val="000000" w:themeColor="text1"/>
          <w:sz w:val="32"/>
          <w:szCs w:val="32"/>
        </w:rPr>
        <w:t>储层本构力学</w:t>
      </w:r>
      <w:proofErr w:type="gramEnd"/>
      <w:r>
        <w:rPr>
          <w:rFonts w:ascii="仿宋_GB2312" w:eastAsia="仿宋_GB2312" w:hAnsi="仿宋_GB2312" w:cs="仿宋_GB2312" w:hint="eastAsia"/>
          <w:color w:val="000000" w:themeColor="text1"/>
          <w:sz w:val="32"/>
          <w:szCs w:val="32"/>
        </w:rPr>
        <w:t>模型与裂缝复杂程度评价方法；</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建立页理缝及纹层状储层压裂裂缝扩展数值模型及数值程序；</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建立页理缝及纹层储层压后渗流数值模型及数值程序。</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形成页理缝及纹层状</w:t>
      </w:r>
      <w:proofErr w:type="gramStart"/>
      <w:r>
        <w:rPr>
          <w:rFonts w:ascii="仿宋_GB2312" w:eastAsia="仿宋_GB2312" w:hAnsi="仿宋_GB2312" w:cs="仿宋_GB2312" w:hint="eastAsia"/>
          <w:color w:val="000000" w:themeColor="text1"/>
          <w:sz w:val="32"/>
          <w:szCs w:val="32"/>
        </w:rPr>
        <w:t>储层本构力学</w:t>
      </w:r>
      <w:proofErr w:type="gramEnd"/>
      <w:r>
        <w:rPr>
          <w:rFonts w:ascii="仿宋_GB2312" w:eastAsia="仿宋_GB2312" w:hAnsi="仿宋_GB2312" w:cs="仿宋_GB2312" w:hint="eastAsia"/>
          <w:color w:val="000000" w:themeColor="text1"/>
          <w:sz w:val="32"/>
          <w:szCs w:val="32"/>
        </w:rPr>
        <w:t>模型与裂缝复杂程度评价方法；</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形成页理缝及纹层状储层压裂裂缝扩展数值模型及数值程序；</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形成页理缝及</w:t>
      </w:r>
      <w:proofErr w:type="gramStart"/>
      <w:r>
        <w:rPr>
          <w:rFonts w:ascii="仿宋_GB2312" w:eastAsia="仿宋_GB2312" w:hAnsi="仿宋_GB2312" w:cs="仿宋_GB2312" w:hint="eastAsia"/>
          <w:color w:val="000000" w:themeColor="text1"/>
          <w:sz w:val="32"/>
          <w:szCs w:val="32"/>
        </w:rPr>
        <w:t>纹层状储层压</w:t>
      </w:r>
      <w:proofErr w:type="gramEnd"/>
      <w:r>
        <w:rPr>
          <w:rFonts w:ascii="仿宋_GB2312" w:eastAsia="仿宋_GB2312" w:hAnsi="仿宋_GB2312" w:cs="仿宋_GB2312" w:hint="eastAsia"/>
          <w:color w:val="000000" w:themeColor="text1"/>
          <w:sz w:val="32"/>
          <w:szCs w:val="32"/>
        </w:rPr>
        <w:t>后渗流数值模型及数值程序。</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承担过专项课题的研究工作，至少具有国家或省部级重点实验室，且实验设备满足研究需求，能自主开发数值程序。</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240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年</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pacing w:val="-6"/>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adjustRightInd w:val="0"/>
        <w:snapToGrid w:val="0"/>
        <w:spacing w:line="560" w:lineRule="exact"/>
        <w:ind w:leftChars="8" w:left="17" w:firstLineChars="200" w:firstLine="616"/>
        <w:rPr>
          <w:rFonts w:ascii="仿宋_GB2312" w:eastAsia="仿宋_GB2312" w:hAnsi="仿宋_GB2312" w:cs="仿宋_GB2312"/>
          <w:color w:val="000000" w:themeColor="text1"/>
          <w:spacing w:val="-6"/>
          <w:sz w:val="32"/>
          <w:szCs w:val="32"/>
        </w:rPr>
      </w:pPr>
    </w:p>
    <w:p w:rsidR="00275B30" w:rsidRDefault="00AB1B6F">
      <w:pPr>
        <w:spacing w:line="560" w:lineRule="exact"/>
        <w:ind w:firstLineChars="200" w:firstLine="643"/>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8</w:t>
      </w:r>
      <w:r>
        <w:rPr>
          <w:rFonts w:ascii="黑体" w:eastAsia="黑体" w:hAnsi="黑体" w:cs="黑体" w:hint="eastAsia"/>
          <w:b/>
          <w:color w:val="000000" w:themeColor="text1"/>
          <w:sz w:val="32"/>
          <w:szCs w:val="32"/>
        </w:rPr>
        <w:t>：古龙页岩油压驱机理研究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古龙页岩油储层以微纳米孔隙为主，储层流体与岩石作用机理复杂，开采难度极大。亟需开展启动和运移机制、压裂液</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油</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气</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水</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岩石多介质界面相互作用机理及微纳米通道中驱替行为规律、吞吐渗吸采油的微观动用机理、压裂后能量补充时机及合理方式研究，提升开发效果。</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lastRenderedPageBreak/>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基于分子动力学模拟的页岩油驱替过程评价研究；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压裂液</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油</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气</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岩石多介质界面相互作用机理研究；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吞吐渗吸采油微观作用机理与输运机制研究；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新型压裂液压后能量补充时机及方式优化研究。</w:t>
      </w:r>
    </w:p>
    <w:p w:rsidR="00275B30" w:rsidRDefault="00AB1B6F">
      <w:pPr>
        <w:adjustRightInd w:val="0"/>
        <w:snapToGrid w:val="0"/>
        <w:spacing w:line="560" w:lineRule="exact"/>
        <w:ind w:leftChars="8" w:left="17" w:firstLineChars="183" w:firstLine="586"/>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建立页岩不同矿物成分、微观相态作用分析和地层条件下流体流动模型与模拟分析方法；</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建立压裂液</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页岩油</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气</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岩石多介质界面相互作用评价分析方法；</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明确多介质界面相互作用的主控因素及其对页岩</w:t>
      </w:r>
      <w:proofErr w:type="gramStart"/>
      <w:r>
        <w:rPr>
          <w:rFonts w:ascii="仿宋_GB2312" w:eastAsia="仿宋_GB2312" w:hAnsi="仿宋_GB2312" w:cs="仿宋_GB2312" w:hint="eastAsia"/>
          <w:color w:val="000000" w:themeColor="text1"/>
          <w:sz w:val="32"/>
          <w:szCs w:val="32"/>
        </w:rPr>
        <w:t>油启动</w:t>
      </w:r>
      <w:proofErr w:type="gramEnd"/>
      <w:r>
        <w:rPr>
          <w:rFonts w:ascii="仿宋_GB2312" w:eastAsia="仿宋_GB2312" w:hAnsi="仿宋_GB2312" w:cs="仿宋_GB2312" w:hint="eastAsia"/>
          <w:color w:val="000000" w:themeColor="text1"/>
          <w:sz w:val="32"/>
          <w:szCs w:val="32"/>
        </w:rPr>
        <w:t>机制的影响；</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明确古</w:t>
      </w:r>
      <w:proofErr w:type="gramEnd"/>
      <w:r>
        <w:rPr>
          <w:rFonts w:ascii="仿宋_GB2312" w:eastAsia="仿宋_GB2312" w:hAnsi="仿宋_GB2312" w:cs="仿宋_GB2312" w:hint="eastAsia"/>
          <w:color w:val="000000" w:themeColor="text1"/>
          <w:sz w:val="32"/>
          <w:szCs w:val="32"/>
        </w:rPr>
        <w:t>龙页岩</w:t>
      </w:r>
      <w:proofErr w:type="gramStart"/>
      <w:r>
        <w:rPr>
          <w:rFonts w:ascii="仿宋_GB2312" w:eastAsia="仿宋_GB2312" w:hAnsi="仿宋_GB2312" w:cs="仿宋_GB2312" w:hint="eastAsia"/>
          <w:color w:val="000000" w:themeColor="text1"/>
          <w:sz w:val="32"/>
          <w:szCs w:val="32"/>
        </w:rPr>
        <w:t>油不</w:t>
      </w:r>
      <w:proofErr w:type="gramEnd"/>
      <w:r>
        <w:rPr>
          <w:rFonts w:ascii="仿宋_GB2312" w:eastAsia="仿宋_GB2312" w:hAnsi="仿宋_GB2312" w:cs="仿宋_GB2312" w:hint="eastAsia"/>
          <w:color w:val="000000" w:themeColor="text1"/>
          <w:sz w:val="32"/>
          <w:szCs w:val="32"/>
        </w:rPr>
        <w:t>同介质吞吐渗吸微观动用机理与最佳能量补充时机及合理工作制度。</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具备分子动力学模拟与多介质界面作用研究技术；</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拥有国家重点实验室并承担多介质界面相互作用研究领域重大专项。</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390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黑体" w:eastAsia="黑体" w:hAnsi="黑体" w:cs="黑体"/>
          <w:b/>
          <w:color w:val="000000" w:themeColor="text1"/>
          <w:sz w:val="30"/>
          <w:szCs w:val="30"/>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43"/>
        <w:rPr>
          <w:rFonts w:ascii="黑体" w:eastAsia="黑体" w:hAnsi="黑体" w:cs="黑体"/>
          <w:b/>
          <w:color w:val="000000" w:themeColor="text1"/>
          <w:sz w:val="32"/>
          <w:szCs w:val="32"/>
        </w:rPr>
      </w:pPr>
    </w:p>
    <w:p w:rsidR="00275B30" w:rsidRDefault="00AB1B6F">
      <w:pPr>
        <w:spacing w:line="560" w:lineRule="exact"/>
        <w:ind w:firstLineChars="200" w:firstLine="643"/>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9</w:t>
      </w:r>
      <w:r>
        <w:rPr>
          <w:rFonts w:ascii="黑体" w:eastAsia="黑体" w:hAnsi="黑体" w:cs="黑体" w:hint="eastAsia"/>
          <w:b/>
          <w:color w:val="000000" w:themeColor="text1"/>
          <w:sz w:val="32"/>
          <w:szCs w:val="32"/>
        </w:rPr>
        <w:t>：古龙页岩油碳同位素原位分馏效应研究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古龙页岩有机质高度富集，生</w:t>
      </w:r>
      <w:proofErr w:type="gramStart"/>
      <w:r>
        <w:rPr>
          <w:rFonts w:ascii="仿宋_GB2312" w:eastAsia="仿宋_GB2312" w:hAnsi="仿宋_GB2312" w:cs="仿宋_GB2312" w:hint="eastAsia"/>
          <w:color w:val="000000" w:themeColor="text1"/>
          <w:sz w:val="32"/>
          <w:szCs w:val="32"/>
        </w:rPr>
        <w:t>烃能力</w:t>
      </w:r>
      <w:proofErr w:type="gramEnd"/>
      <w:r>
        <w:rPr>
          <w:rFonts w:ascii="仿宋_GB2312" w:eastAsia="仿宋_GB2312" w:hAnsi="仿宋_GB2312" w:cs="仿宋_GB2312" w:hint="eastAsia"/>
          <w:color w:val="000000" w:themeColor="text1"/>
          <w:sz w:val="32"/>
          <w:szCs w:val="32"/>
        </w:rPr>
        <w:t>巨大，热演化程度适中。研究古龙页岩油的类型与分布规律将为早日实现页岩油大规模开发奠定基础。本项目需要从古龙页岩油碳同位素原位分馏效应入手，建立页岩油气的宏观分布预测模式。</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古龙页岩油气类型与宏观分布预测模型研究；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古龙页岩油荧光特征及与碳同位素和</w:t>
      </w:r>
      <w:r>
        <w:rPr>
          <w:rFonts w:ascii="仿宋_GB2312" w:eastAsia="仿宋_GB2312" w:hAnsi="仿宋_GB2312" w:cs="仿宋_GB2312" w:hint="eastAsia"/>
          <w:color w:val="000000" w:themeColor="text1"/>
          <w:sz w:val="32"/>
          <w:szCs w:val="32"/>
        </w:rPr>
        <w:t>H/C</w:t>
      </w:r>
      <w:r>
        <w:rPr>
          <w:rFonts w:ascii="仿宋_GB2312" w:eastAsia="仿宋_GB2312" w:hAnsi="仿宋_GB2312" w:cs="仿宋_GB2312" w:hint="eastAsia"/>
          <w:color w:val="000000" w:themeColor="text1"/>
          <w:sz w:val="32"/>
          <w:szCs w:val="32"/>
        </w:rPr>
        <w:t>的关系研究；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古龙页岩可动油分布规律。</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综合油气地球化学、物理化学、分子地球化学和分子统计学方法，建立页岩湿气、凝析（油）气和轻质油等宏观分布预测模式</w:t>
      </w:r>
      <w:r>
        <w:rPr>
          <w:rFonts w:ascii="仿宋_GB2312" w:eastAsia="仿宋_GB2312" w:hAnsi="仿宋_GB2312" w:cs="仿宋_GB2312" w:hint="eastAsia"/>
          <w:color w:val="000000" w:themeColor="text1"/>
          <w:sz w:val="32"/>
          <w:szCs w:val="32"/>
        </w:rPr>
        <w:t>；</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揭示页岩可动油荧光特征及与碳同位素和</w:t>
      </w:r>
      <w:r>
        <w:rPr>
          <w:rFonts w:ascii="仿宋_GB2312" w:eastAsia="仿宋_GB2312" w:hAnsi="仿宋_GB2312" w:cs="仿宋_GB2312" w:hint="eastAsia"/>
          <w:color w:val="000000" w:themeColor="text1"/>
          <w:sz w:val="32"/>
          <w:szCs w:val="32"/>
        </w:rPr>
        <w:t>H/C</w:t>
      </w:r>
      <w:r>
        <w:rPr>
          <w:rFonts w:ascii="仿宋_GB2312" w:eastAsia="仿宋_GB2312" w:hAnsi="仿宋_GB2312" w:cs="仿宋_GB2312" w:hint="eastAsia"/>
          <w:color w:val="000000" w:themeColor="text1"/>
          <w:sz w:val="32"/>
          <w:szCs w:val="32"/>
        </w:rPr>
        <w:t>比关系，建立离子探针</w:t>
      </w:r>
      <w:proofErr w:type="gramStart"/>
      <w:r>
        <w:rPr>
          <w:rFonts w:ascii="仿宋_GB2312" w:eastAsia="仿宋_GB2312" w:hAnsi="仿宋_GB2312" w:cs="仿宋_GB2312" w:hint="eastAsia"/>
          <w:color w:val="000000" w:themeColor="text1"/>
          <w:sz w:val="32"/>
          <w:szCs w:val="32"/>
        </w:rPr>
        <w:t>微纳区域</w:t>
      </w:r>
      <w:proofErr w:type="gramEnd"/>
      <w:r>
        <w:rPr>
          <w:rFonts w:ascii="仿宋_GB2312" w:eastAsia="仿宋_GB2312" w:hAnsi="仿宋_GB2312" w:cs="仿宋_GB2312" w:hint="eastAsia"/>
          <w:color w:val="000000" w:themeColor="text1"/>
          <w:sz w:val="32"/>
          <w:szCs w:val="32"/>
        </w:rPr>
        <w:t>原位碳同位素分析技术</w:t>
      </w:r>
      <w:r>
        <w:rPr>
          <w:rFonts w:ascii="仿宋_GB2312" w:eastAsia="仿宋_GB2312" w:hAnsi="仿宋_GB2312" w:cs="仿宋_GB2312" w:hint="eastAsia"/>
          <w:color w:val="000000" w:themeColor="text1"/>
          <w:sz w:val="32"/>
          <w:szCs w:val="32"/>
        </w:rPr>
        <w:t>；</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查明</w:t>
      </w:r>
      <w:proofErr w:type="gramStart"/>
      <w:r>
        <w:rPr>
          <w:rFonts w:ascii="仿宋_GB2312" w:eastAsia="仿宋_GB2312" w:hAnsi="仿宋_GB2312" w:cs="仿宋_GB2312" w:hint="eastAsia"/>
          <w:color w:val="000000" w:themeColor="text1"/>
          <w:sz w:val="32"/>
          <w:szCs w:val="32"/>
        </w:rPr>
        <w:t>微米</w:t>
      </w:r>
      <w:r>
        <w:rPr>
          <w:rFonts w:ascii="仿宋_GB2312" w:eastAsia="仿宋_GB2312" w:hAnsi="仿宋_GB2312" w:cs="仿宋_GB2312" w:hint="eastAsia"/>
          <w:color w:val="000000" w:themeColor="text1"/>
          <w:sz w:val="32"/>
          <w:szCs w:val="32"/>
        </w:rPr>
        <w:t>-</w:t>
      </w:r>
      <w:proofErr w:type="gramEnd"/>
      <w:r>
        <w:rPr>
          <w:rFonts w:ascii="仿宋_GB2312" w:eastAsia="仿宋_GB2312" w:hAnsi="仿宋_GB2312" w:cs="仿宋_GB2312" w:hint="eastAsia"/>
          <w:color w:val="000000" w:themeColor="text1"/>
          <w:sz w:val="32"/>
          <w:szCs w:val="32"/>
        </w:rPr>
        <w:t>亚微米孔隙中轻质油和重质油的赋存状态、含量和轻</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重比，揭示可动油分布特征。</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对揭榜方要求</w:t>
      </w:r>
      <w:r>
        <w:rPr>
          <w:rFonts w:ascii="仿宋_GB2312" w:eastAsia="仿宋_GB2312" w:hAnsi="仿宋_GB2312" w:cs="仿宋_GB2312" w:hint="eastAsia"/>
          <w:color w:val="000000" w:themeColor="text1"/>
          <w:sz w:val="32"/>
          <w:szCs w:val="32"/>
        </w:rPr>
        <w:t>：</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在页岩油气领域拥有丰富的研究经验及自主技术；</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在页岩油气领域的技术带头人</w:t>
      </w:r>
      <w:proofErr w:type="gramStart"/>
      <w:r>
        <w:rPr>
          <w:rFonts w:ascii="仿宋_GB2312" w:eastAsia="仿宋_GB2312" w:hAnsi="仿宋_GB2312" w:cs="仿宋_GB2312" w:hint="eastAsia"/>
          <w:color w:val="000000" w:themeColor="text1"/>
          <w:sz w:val="32"/>
          <w:szCs w:val="32"/>
        </w:rPr>
        <w:t>需拥有正</w:t>
      </w:r>
      <w:proofErr w:type="gramEnd"/>
      <w:r>
        <w:rPr>
          <w:rFonts w:ascii="仿宋_GB2312" w:eastAsia="仿宋_GB2312" w:hAnsi="仿宋_GB2312" w:cs="仿宋_GB2312" w:hint="eastAsia"/>
          <w:color w:val="000000" w:themeColor="text1"/>
          <w:sz w:val="32"/>
          <w:szCs w:val="32"/>
        </w:rPr>
        <w:t>高级职称；</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拥有省级及以上工程技术研究中心及所需的主要实验设备，可进行微米、亚微米和纳米级页岩油观测；</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拥有国家或省市页岩油气领域科技专项承担经验。</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450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仿宋_GB2312" w:eastAsia="仿宋_GB2312" w:hAnsi="仿宋_GB2312" w:cs="仿宋_GB2312"/>
          <w:color w:val="000000" w:themeColor="text1"/>
          <w:spacing w:val="-6"/>
          <w:sz w:val="32"/>
          <w:szCs w:val="32"/>
        </w:rPr>
      </w:pPr>
      <w:r>
        <w:rPr>
          <w:rFonts w:ascii="楷体_GB2312" w:eastAsia="楷体_GB2312" w:hAnsi="楷体_GB2312" w:cs="楷体_GB2312" w:hint="eastAsia"/>
          <w:b/>
          <w:bCs/>
          <w:color w:val="000000" w:themeColor="text1"/>
          <w:sz w:val="32"/>
          <w:szCs w:val="32"/>
        </w:rPr>
        <w:lastRenderedPageBreak/>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16"/>
        <w:rPr>
          <w:rFonts w:ascii="仿宋_GB2312" w:eastAsia="仿宋_GB2312" w:hAnsi="仿宋_GB2312" w:cs="仿宋_GB2312"/>
          <w:color w:val="000000" w:themeColor="text1"/>
          <w:spacing w:val="-6"/>
          <w:sz w:val="32"/>
          <w:szCs w:val="32"/>
        </w:rPr>
      </w:pPr>
    </w:p>
    <w:p w:rsidR="00275B30" w:rsidRDefault="00AB1B6F">
      <w:pPr>
        <w:spacing w:line="560" w:lineRule="exact"/>
        <w:ind w:firstLineChars="200" w:firstLine="643"/>
        <w:rPr>
          <w:rFonts w:ascii="仿宋_GB2312" w:eastAsia="仿宋_GB2312" w:hAnsi="仿宋_GB2312" w:cs="仿宋_GB2312"/>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10</w:t>
      </w:r>
      <w:r>
        <w:rPr>
          <w:rFonts w:ascii="黑体" w:eastAsia="黑体" w:hAnsi="黑体" w:cs="黑体" w:hint="eastAsia"/>
          <w:b/>
          <w:color w:val="000000" w:themeColor="text1"/>
          <w:sz w:val="32"/>
          <w:szCs w:val="32"/>
        </w:rPr>
        <w:t>：古龙页岩储层成岩动态演化过程</w:t>
      </w:r>
      <w:proofErr w:type="gramStart"/>
      <w:r>
        <w:rPr>
          <w:rFonts w:ascii="黑体" w:eastAsia="黑体" w:hAnsi="黑体" w:cs="黑体" w:hint="eastAsia"/>
          <w:b/>
          <w:color w:val="000000" w:themeColor="text1"/>
          <w:sz w:val="32"/>
          <w:szCs w:val="32"/>
        </w:rPr>
        <w:t>与孔缝耦合</w:t>
      </w:r>
      <w:proofErr w:type="gramEnd"/>
      <w:r>
        <w:rPr>
          <w:rFonts w:ascii="黑体" w:eastAsia="黑体" w:hAnsi="黑体" w:cs="黑体" w:hint="eastAsia"/>
          <w:b/>
          <w:color w:val="000000" w:themeColor="text1"/>
          <w:sz w:val="32"/>
          <w:szCs w:val="32"/>
        </w:rPr>
        <w:t>关系研究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古龙页岩页理缝异常发育，目前</w:t>
      </w:r>
      <w:proofErr w:type="gramStart"/>
      <w:r>
        <w:rPr>
          <w:rFonts w:ascii="仿宋_GB2312" w:eastAsia="仿宋_GB2312" w:hAnsi="仿宋_GB2312" w:cs="仿宋_GB2312" w:hint="eastAsia"/>
          <w:color w:val="000000" w:themeColor="text1"/>
          <w:sz w:val="32"/>
          <w:szCs w:val="32"/>
        </w:rPr>
        <w:t>储油孔缝成因</w:t>
      </w:r>
      <w:proofErr w:type="gramEnd"/>
      <w:r>
        <w:rPr>
          <w:rFonts w:ascii="仿宋_GB2312" w:eastAsia="仿宋_GB2312" w:hAnsi="仿宋_GB2312" w:cs="仿宋_GB2312" w:hint="eastAsia"/>
          <w:color w:val="000000" w:themeColor="text1"/>
          <w:sz w:val="32"/>
          <w:szCs w:val="32"/>
        </w:rPr>
        <w:t>和贡献比例尚未明确。需要定量评价有机质孔与</w:t>
      </w:r>
      <w:proofErr w:type="gramStart"/>
      <w:r>
        <w:rPr>
          <w:rFonts w:ascii="仿宋_GB2312" w:eastAsia="仿宋_GB2312" w:hAnsi="仿宋_GB2312" w:cs="仿宋_GB2312" w:hint="eastAsia"/>
          <w:color w:val="000000" w:themeColor="text1"/>
          <w:sz w:val="32"/>
          <w:szCs w:val="32"/>
        </w:rPr>
        <w:t>无机质孔比例</w:t>
      </w:r>
      <w:proofErr w:type="gramEnd"/>
      <w:r>
        <w:rPr>
          <w:rFonts w:ascii="仿宋_GB2312" w:eastAsia="仿宋_GB2312" w:hAnsi="仿宋_GB2312" w:cs="仿宋_GB2312" w:hint="eastAsia"/>
          <w:color w:val="000000" w:themeColor="text1"/>
          <w:sz w:val="32"/>
          <w:szCs w:val="32"/>
        </w:rPr>
        <w:t>、产状、微裂缝特征及三维连通性；明确基质孔、页理缝、微裂缝等的形成演化过程，支撑富油层分布预测。</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页岩黏土矿物成因、转化及对成烃、成孔的影响；</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页岩孔隙结构多尺度表征、比例定量和连通性研究；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页岩成岩过程动态演化规律</w:t>
      </w:r>
      <w:proofErr w:type="gramStart"/>
      <w:r>
        <w:rPr>
          <w:rFonts w:ascii="仿宋_GB2312" w:eastAsia="仿宋_GB2312" w:hAnsi="仿宋_GB2312" w:cs="仿宋_GB2312" w:hint="eastAsia"/>
          <w:color w:val="000000" w:themeColor="text1"/>
          <w:sz w:val="32"/>
          <w:szCs w:val="32"/>
        </w:rPr>
        <w:t>及孔缝形成</w:t>
      </w:r>
      <w:proofErr w:type="gramEnd"/>
      <w:r>
        <w:rPr>
          <w:rFonts w:ascii="仿宋_GB2312" w:eastAsia="仿宋_GB2312" w:hAnsi="仿宋_GB2312" w:cs="仿宋_GB2312" w:hint="eastAsia"/>
          <w:color w:val="000000" w:themeColor="text1"/>
          <w:sz w:val="32"/>
          <w:szCs w:val="32"/>
        </w:rPr>
        <w:t>机制。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定量古龙黏土矿物来源与分布，定量评价自生黏土矿物与沉积黏土矿物的含量与产状；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建立古龙页岩孔隙—裂缝—矿物—流体一体化综合表征模型；</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建立精细沉积旋回数字化模型，揭示沉积</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成岩动态过程</w:t>
      </w:r>
      <w:proofErr w:type="gramStart"/>
      <w:r>
        <w:rPr>
          <w:rFonts w:ascii="仿宋_GB2312" w:eastAsia="仿宋_GB2312" w:hAnsi="仿宋_GB2312" w:cs="仿宋_GB2312" w:hint="eastAsia"/>
          <w:color w:val="000000" w:themeColor="text1"/>
          <w:sz w:val="32"/>
          <w:szCs w:val="32"/>
        </w:rPr>
        <w:t>对孔缝演化</w:t>
      </w:r>
      <w:proofErr w:type="gramEnd"/>
      <w:r>
        <w:rPr>
          <w:rFonts w:ascii="仿宋_GB2312" w:eastAsia="仿宋_GB2312" w:hAnsi="仿宋_GB2312" w:cs="仿宋_GB2312" w:hint="eastAsia"/>
          <w:color w:val="000000" w:themeColor="text1"/>
          <w:sz w:val="32"/>
          <w:szCs w:val="32"/>
        </w:rPr>
        <w:t>的控制机理。</w:t>
      </w:r>
    </w:p>
    <w:p w:rsidR="00275B30" w:rsidRDefault="00AB1B6F">
      <w:pPr>
        <w:adjustRightInd w:val="0"/>
        <w:snapToGrid w:val="0"/>
        <w:spacing w:line="560" w:lineRule="exact"/>
        <w:ind w:leftChars="8" w:left="17" w:firstLineChars="183" w:firstLine="586"/>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在“成岩作用、非常规储层孔隙结构表征”领域，拥有丰富研究经验、相关知识产权或论文专著，拥有正高级职称技术带头人；</w:t>
      </w:r>
      <w:r>
        <w:rPr>
          <w:rFonts w:ascii="仿宋_GB2312" w:eastAsia="仿宋_GB2312" w:hAnsi="仿宋_GB2312" w:cs="仿宋_GB2312" w:hint="eastAsia"/>
          <w:color w:val="000000" w:themeColor="text1"/>
          <w:sz w:val="32"/>
          <w:szCs w:val="32"/>
        </w:rPr>
        <w:t xml:space="preserve"> </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拥有省级及以上重点实验室或研发中心，拥有项目所需的主要实验设备，可涵盖从纳米至毫微米级；</w:t>
      </w:r>
      <w:r>
        <w:rPr>
          <w:rFonts w:ascii="仿宋_GB2312" w:eastAsia="仿宋_GB2312" w:hAnsi="仿宋_GB2312" w:cs="仿宋_GB2312" w:hint="eastAsia"/>
          <w:color w:val="000000" w:themeColor="text1"/>
          <w:sz w:val="32"/>
          <w:szCs w:val="32"/>
        </w:rPr>
        <w:t xml:space="preserve"> </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拥有国家或省市级“成岩作用”、“非常规储层孔隙结构表征”领域相关科技专项的承担经验。</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690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黑体" w:eastAsia="黑体" w:hAnsi="黑体" w:cs="黑体"/>
          <w:b/>
          <w:color w:val="000000" w:themeColor="text1"/>
          <w:sz w:val="30"/>
          <w:szCs w:val="30"/>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43"/>
        <w:rPr>
          <w:rFonts w:ascii="黑体" w:eastAsia="黑体" w:hAnsi="黑体" w:cs="黑体"/>
          <w:b/>
          <w:color w:val="000000" w:themeColor="text1"/>
          <w:sz w:val="32"/>
          <w:szCs w:val="32"/>
        </w:rPr>
      </w:pPr>
    </w:p>
    <w:p w:rsidR="00275B30" w:rsidRDefault="00AB1B6F">
      <w:pPr>
        <w:spacing w:line="560" w:lineRule="exact"/>
        <w:ind w:firstLineChars="200" w:firstLine="643"/>
        <w:rPr>
          <w:rFonts w:ascii="黑体" w:eastAsia="黑体" w:hAnsi="黑体" w:cs="黑体"/>
          <w:b/>
          <w:color w:val="000000" w:themeColor="text1"/>
          <w:sz w:val="30"/>
          <w:szCs w:val="30"/>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11</w:t>
      </w:r>
      <w:r>
        <w:rPr>
          <w:rFonts w:ascii="黑体" w:eastAsia="黑体" w:hAnsi="黑体" w:cs="黑体" w:hint="eastAsia"/>
          <w:b/>
          <w:color w:val="000000" w:themeColor="text1"/>
          <w:sz w:val="32"/>
          <w:szCs w:val="32"/>
        </w:rPr>
        <w:t>：古龙页岩油相态、渗流机理及地质工程一体化增产改造研究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古龙页岩油属于原生原储油藏，地层流体</w:t>
      </w:r>
      <w:proofErr w:type="gramStart"/>
      <w:r>
        <w:rPr>
          <w:rFonts w:ascii="仿宋_GB2312" w:eastAsia="仿宋_GB2312" w:hAnsi="仿宋_GB2312" w:cs="仿宋_GB2312" w:hint="eastAsia"/>
          <w:color w:val="000000" w:themeColor="text1"/>
          <w:sz w:val="32"/>
          <w:szCs w:val="32"/>
        </w:rPr>
        <w:t>相态受</w:t>
      </w:r>
      <w:proofErr w:type="gramEnd"/>
      <w:r>
        <w:rPr>
          <w:rFonts w:ascii="仿宋_GB2312" w:eastAsia="仿宋_GB2312" w:hAnsi="仿宋_GB2312" w:cs="仿宋_GB2312" w:hint="eastAsia"/>
          <w:color w:val="000000" w:themeColor="text1"/>
          <w:sz w:val="32"/>
          <w:szCs w:val="32"/>
        </w:rPr>
        <w:t>成藏条件和储存空间影响较大，且以微纳米孔隙为主，常规的地层流体相态和渗流特征评价方法不适用。需要在攻关页岩油储层流体相态、渗流特征与渗流机理基础上，形成一套古龙页岩油地质工程一体化增产改造技术，为陆相页岩油高质量、高效益开发提供技术支撑。</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古龙页岩油相态分析方法及相态、</w:t>
      </w:r>
      <w:proofErr w:type="gramStart"/>
      <w:r>
        <w:rPr>
          <w:rFonts w:ascii="仿宋_GB2312" w:eastAsia="仿宋_GB2312" w:hAnsi="仿宋_GB2312" w:cs="仿宋_GB2312" w:hint="eastAsia"/>
          <w:color w:val="000000" w:themeColor="text1"/>
          <w:sz w:val="32"/>
          <w:szCs w:val="32"/>
        </w:rPr>
        <w:t>相带特征</w:t>
      </w:r>
      <w:proofErr w:type="gramEnd"/>
      <w:r>
        <w:rPr>
          <w:rFonts w:ascii="仿宋_GB2312" w:eastAsia="仿宋_GB2312" w:hAnsi="仿宋_GB2312" w:cs="仿宋_GB2312" w:hint="eastAsia"/>
          <w:color w:val="000000" w:themeColor="text1"/>
          <w:sz w:val="32"/>
          <w:szCs w:val="32"/>
        </w:rPr>
        <w:t>研究；</w:t>
      </w:r>
      <w:r>
        <w:rPr>
          <w:rFonts w:ascii="仿宋_GB2312" w:eastAsia="仿宋_GB2312" w:hAnsi="仿宋_GB2312" w:cs="仿宋_GB2312" w:hint="eastAsia"/>
          <w:color w:val="000000" w:themeColor="text1"/>
          <w:sz w:val="32"/>
          <w:szCs w:val="32"/>
        </w:rPr>
        <w:t xml:space="preserve"> </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古龙页岩油储层渗流特征测试分析方法与应用研究；</w:t>
      </w:r>
      <w:r>
        <w:rPr>
          <w:rFonts w:ascii="仿宋_GB2312" w:eastAsia="仿宋_GB2312" w:hAnsi="仿宋_GB2312" w:cs="仿宋_GB2312" w:hint="eastAsia"/>
          <w:color w:val="000000" w:themeColor="text1"/>
          <w:sz w:val="32"/>
          <w:szCs w:val="32"/>
        </w:rPr>
        <w:t xml:space="preserve"> </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古龙页岩储层多相、多</w:t>
      </w:r>
      <w:proofErr w:type="gramStart"/>
      <w:r>
        <w:rPr>
          <w:rFonts w:ascii="仿宋_GB2312" w:eastAsia="仿宋_GB2312" w:hAnsi="仿宋_GB2312" w:cs="仿宋_GB2312" w:hint="eastAsia"/>
          <w:color w:val="000000" w:themeColor="text1"/>
          <w:sz w:val="32"/>
          <w:szCs w:val="32"/>
        </w:rPr>
        <w:t>尺度流固耦合</w:t>
      </w:r>
      <w:proofErr w:type="gramEnd"/>
      <w:r>
        <w:rPr>
          <w:rFonts w:ascii="仿宋_GB2312" w:eastAsia="仿宋_GB2312" w:hAnsi="仿宋_GB2312" w:cs="仿宋_GB2312" w:hint="eastAsia"/>
          <w:color w:val="000000" w:themeColor="text1"/>
          <w:sz w:val="32"/>
          <w:szCs w:val="32"/>
        </w:rPr>
        <w:t>渗流机理研究；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古龙页岩油地质工程一体化增产改造技术研究。</w:t>
      </w:r>
    </w:p>
    <w:p w:rsidR="00275B30" w:rsidRDefault="00AB1B6F">
      <w:pPr>
        <w:adjustRightInd w:val="0"/>
        <w:snapToGrid w:val="0"/>
        <w:spacing w:line="560" w:lineRule="exact"/>
        <w:ind w:leftChars="8" w:left="17" w:firstLineChars="183" w:firstLine="586"/>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明确不同成熟度区域地层流体相态</w:t>
      </w:r>
      <w:proofErr w:type="gramStart"/>
      <w:r>
        <w:rPr>
          <w:rFonts w:ascii="仿宋_GB2312" w:eastAsia="仿宋_GB2312" w:hAnsi="仿宋_GB2312" w:cs="仿宋_GB2312" w:hint="eastAsia"/>
          <w:color w:val="000000" w:themeColor="text1"/>
          <w:sz w:val="32"/>
          <w:szCs w:val="32"/>
        </w:rPr>
        <w:t>及相带分布</w:t>
      </w:r>
      <w:proofErr w:type="gramEnd"/>
      <w:r>
        <w:rPr>
          <w:rFonts w:ascii="仿宋_GB2312" w:eastAsia="仿宋_GB2312" w:hAnsi="仿宋_GB2312" w:cs="仿宋_GB2312" w:hint="eastAsia"/>
          <w:color w:val="000000" w:themeColor="text1"/>
          <w:sz w:val="32"/>
          <w:szCs w:val="32"/>
        </w:rPr>
        <w:t>规律；</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建立适用古龙页岩油渗流特征评价方法与标准体系；</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明确多尺度、多相流固耦合渗流特征与作用机制；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形成地质工程一体化的增产改造技术。</w:t>
      </w:r>
    </w:p>
    <w:p w:rsidR="00275B30" w:rsidRDefault="00AB1B6F">
      <w:pPr>
        <w:adjustRightInd w:val="0"/>
        <w:snapToGrid w:val="0"/>
        <w:spacing w:line="560" w:lineRule="exact"/>
        <w:ind w:leftChars="8" w:left="17" w:firstLineChars="183" w:firstLine="586"/>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具备页岩油相态、渗流特征评价与地质工程一体化研究的设备和软件；</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拥有国家重点实验室并承担页岩油开发领域国家或中石油集团公司重大科技专项。</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1320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黑体" w:eastAsia="黑体" w:hAnsi="黑体" w:cs="黑体"/>
          <w:b/>
          <w:color w:val="000000" w:themeColor="text1"/>
          <w:sz w:val="30"/>
          <w:szCs w:val="30"/>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43"/>
        <w:rPr>
          <w:rFonts w:ascii="黑体" w:eastAsia="黑体" w:hAnsi="黑体" w:cs="黑体"/>
          <w:b/>
          <w:color w:val="000000" w:themeColor="text1"/>
          <w:sz w:val="32"/>
          <w:szCs w:val="32"/>
        </w:rPr>
      </w:pPr>
    </w:p>
    <w:p w:rsidR="00275B30" w:rsidRDefault="00AB1B6F">
      <w:pPr>
        <w:spacing w:line="560" w:lineRule="exact"/>
        <w:ind w:firstLineChars="200" w:firstLine="618"/>
        <w:rPr>
          <w:rFonts w:ascii="黑体" w:eastAsia="黑体" w:hAnsi="黑体" w:cs="黑体"/>
          <w:b/>
          <w:color w:val="000000" w:themeColor="text1"/>
          <w:spacing w:val="-6"/>
          <w:sz w:val="32"/>
          <w:szCs w:val="32"/>
        </w:rPr>
      </w:pPr>
      <w:r>
        <w:rPr>
          <w:rFonts w:ascii="黑体" w:eastAsia="黑体" w:hAnsi="黑体" w:cs="黑体" w:hint="eastAsia"/>
          <w:b/>
          <w:color w:val="000000" w:themeColor="text1"/>
          <w:spacing w:val="-6"/>
          <w:sz w:val="32"/>
          <w:szCs w:val="32"/>
        </w:rPr>
        <w:t>项目</w:t>
      </w:r>
      <w:r>
        <w:rPr>
          <w:rFonts w:ascii="黑体" w:eastAsia="黑体" w:hAnsi="黑体" w:cs="黑体" w:hint="eastAsia"/>
          <w:b/>
          <w:color w:val="000000" w:themeColor="text1"/>
          <w:spacing w:val="-6"/>
          <w:sz w:val="32"/>
          <w:szCs w:val="32"/>
        </w:rPr>
        <w:t>12</w:t>
      </w:r>
      <w:r>
        <w:rPr>
          <w:rFonts w:ascii="黑体" w:eastAsia="黑体" w:hAnsi="黑体" w:cs="黑体" w:hint="eastAsia"/>
          <w:b/>
          <w:color w:val="000000" w:themeColor="text1"/>
          <w:spacing w:val="-6"/>
          <w:sz w:val="32"/>
          <w:szCs w:val="32"/>
        </w:rPr>
        <w:t>：古龙页岩油井壁稳定、井眼清洁及轨迹控制研究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古龙页岩层理发育，极易发生井壁失稳</w:t>
      </w:r>
      <w:proofErr w:type="gramStart"/>
      <w:r>
        <w:rPr>
          <w:rFonts w:ascii="仿宋_GB2312" w:eastAsia="仿宋_GB2312" w:hAnsi="仿宋_GB2312" w:cs="仿宋_GB2312" w:hint="eastAsia"/>
          <w:color w:val="000000" w:themeColor="text1"/>
          <w:sz w:val="32"/>
          <w:szCs w:val="32"/>
        </w:rPr>
        <w:t>和返屑不畅</w:t>
      </w:r>
      <w:proofErr w:type="gramEnd"/>
      <w:r>
        <w:rPr>
          <w:rFonts w:ascii="仿宋_GB2312" w:eastAsia="仿宋_GB2312" w:hAnsi="仿宋_GB2312" w:cs="仿宋_GB2312" w:hint="eastAsia"/>
          <w:color w:val="000000" w:themeColor="text1"/>
          <w:sz w:val="32"/>
          <w:szCs w:val="32"/>
        </w:rPr>
        <w:t>导致的井下复杂事故，影响页岩经济有效开发；页岩</w:t>
      </w:r>
      <w:proofErr w:type="gramStart"/>
      <w:r>
        <w:rPr>
          <w:rFonts w:ascii="仿宋_GB2312" w:eastAsia="仿宋_GB2312" w:hAnsi="仿宋_GB2312" w:cs="仿宋_GB2312" w:hint="eastAsia"/>
          <w:color w:val="000000" w:themeColor="text1"/>
          <w:sz w:val="32"/>
          <w:szCs w:val="32"/>
        </w:rPr>
        <w:t>层各项</w:t>
      </w:r>
      <w:proofErr w:type="gramEnd"/>
      <w:r>
        <w:rPr>
          <w:rFonts w:ascii="仿宋_GB2312" w:eastAsia="仿宋_GB2312" w:hAnsi="仿宋_GB2312" w:cs="仿宋_GB2312" w:hint="eastAsia"/>
          <w:color w:val="000000" w:themeColor="text1"/>
          <w:sz w:val="32"/>
          <w:szCs w:val="32"/>
        </w:rPr>
        <w:t>异性强，导致飘移规律性差，轨迹波动大，</w:t>
      </w:r>
      <w:proofErr w:type="gramStart"/>
      <w:r>
        <w:rPr>
          <w:rFonts w:ascii="仿宋_GB2312" w:eastAsia="仿宋_GB2312" w:hAnsi="仿宋_GB2312" w:cs="仿宋_GB2312" w:hint="eastAsia"/>
          <w:color w:val="000000" w:themeColor="text1"/>
          <w:sz w:val="32"/>
          <w:szCs w:val="32"/>
        </w:rPr>
        <w:t>长水平段系统</w:t>
      </w:r>
      <w:proofErr w:type="gramEnd"/>
      <w:r>
        <w:rPr>
          <w:rFonts w:ascii="仿宋_GB2312" w:eastAsia="仿宋_GB2312" w:hAnsi="仿宋_GB2312" w:cs="仿宋_GB2312" w:hint="eastAsia"/>
          <w:color w:val="000000" w:themeColor="text1"/>
          <w:sz w:val="32"/>
          <w:szCs w:val="32"/>
        </w:rPr>
        <w:t>摩阻高、扭矩大，影响了水平段长和储层</w:t>
      </w:r>
      <w:proofErr w:type="gramStart"/>
      <w:r>
        <w:rPr>
          <w:rFonts w:ascii="仿宋_GB2312" w:eastAsia="仿宋_GB2312" w:hAnsi="仿宋_GB2312" w:cs="仿宋_GB2312" w:hint="eastAsia"/>
          <w:color w:val="000000" w:themeColor="text1"/>
          <w:sz w:val="32"/>
          <w:szCs w:val="32"/>
        </w:rPr>
        <w:t>钻遇</w:t>
      </w:r>
      <w:proofErr w:type="gramEnd"/>
      <w:r>
        <w:rPr>
          <w:rFonts w:ascii="仿宋_GB2312" w:eastAsia="仿宋_GB2312" w:hAnsi="仿宋_GB2312" w:cs="仿宋_GB2312" w:hint="eastAsia"/>
          <w:color w:val="000000" w:themeColor="text1"/>
          <w:sz w:val="32"/>
          <w:szCs w:val="32"/>
        </w:rPr>
        <w:t>率。因此，有必要开展古龙页岩油井壁稳定机理、井眼安全及精细轨迹控制技术研究，从理论认识、工程措施等多方面开展攻关，从根本上解决古龙页岩油</w:t>
      </w:r>
      <w:proofErr w:type="gramStart"/>
      <w:r>
        <w:rPr>
          <w:rFonts w:ascii="仿宋_GB2312" w:eastAsia="仿宋_GB2312" w:hAnsi="仿宋_GB2312" w:cs="仿宋_GB2312" w:hint="eastAsia"/>
          <w:color w:val="000000" w:themeColor="text1"/>
          <w:sz w:val="32"/>
          <w:szCs w:val="32"/>
        </w:rPr>
        <w:t>提效提产瓶颈</w:t>
      </w:r>
      <w:proofErr w:type="gramEnd"/>
      <w:r>
        <w:rPr>
          <w:rFonts w:ascii="仿宋_GB2312" w:eastAsia="仿宋_GB2312" w:hAnsi="仿宋_GB2312" w:cs="仿宋_GB2312" w:hint="eastAsia"/>
          <w:color w:val="000000" w:themeColor="text1"/>
          <w:sz w:val="32"/>
          <w:szCs w:val="32"/>
        </w:rPr>
        <w:t>技术问题。</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井壁稳定机理与井筒强化技术研究；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井眼清洁与井下安全钻完井技术研究；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lastRenderedPageBreak/>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精细轨迹控制技术研究。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掌握页岩井壁稳定机理，建立地质导向一体化模型，开发三维压力预测和卡钻风险预警软件，无井壁失稳、卡钻等复杂事故发生，储层</w:t>
      </w:r>
      <w:proofErr w:type="gramStart"/>
      <w:r>
        <w:rPr>
          <w:rFonts w:ascii="仿宋_GB2312" w:eastAsia="仿宋_GB2312" w:hAnsi="仿宋_GB2312" w:cs="仿宋_GB2312" w:hint="eastAsia"/>
          <w:color w:val="000000" w:themeColor="text1"/>
          <w:sz w:val="32"/>
          <w:szCs w:val="32"/>
        </w:rPr>
        <w:t>钻遇率</w:t>
      </w:r>
      <w:proofErr w:type="gramEnd"/>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rPr>
        <w:t>。</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在井壁稳定、井下安全、轨迹控制领域拥有丰富的研究经验和现场应用经验，承担过国家或省市类似课题攻关；</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技术带头人需要拥有正高级职称；</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拥有省级及以上可涵盖井壁稳定、井下安全预警、井眼轨迹控制所需的主要实验设备，相关知识产权或相关论文专著。</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1500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黑体" w:eastAsia="黑体" w:hAnsi="黑体" w:cs="黑体"/>
          <w:b/>
          <w:color w:val="000000" w:themeColor="text1"/>
          <w:sz w:val="30"/>
          <w:szCs w:val="30"/>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43"/>
        <w:rPr>
          <w:rFonts w:ascii="黑体" w:eastAsia="黑体" w:hAnsi="黑体" w:cs="黑体"/>
          <w:b/>
          <w:color w:val="000000" w:themeColor="text1"/>
          <w:sz w:val="32"/>
          <w:szCs w:val="32"/>
        </w:rPr>
      </w:pPr>
    </w:p>
    <w:p w:rsidR="00275B30" w:rsidRDefault="00AB1B6F">
      <w:pPr>
        <w:spacing w:line="560" w:lineRule="exact"/>
        <w:ind w:firstLineChars="200" w:firstLine="643"/>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13</w:t>
      </w:r>
      <w:r>
        <w:rPr>
          <w:rFonts w:ascii="黑体" w:eastAsia="黑体" w:hAnsi="黑体" w:cs="黑体" w:hint="eastAsia"/>
          <w:b/>
          <w:color w:val="000000" w:themeColor="text1"/>
          <w:sz w:val="32"/>
          <w:szCs w:val="32"/>
        </w:rPr>
        <w:t>：古龙页岩油大数据分析系统构建技术研究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通过数据和方法集成打破专业壁垒，利用软件开发技术固化各专业数据分析流程，由多学科协同化转变为多学科一体化的工作模式，最终形成地质工程一体化多学科协同工作平台系统化技术和方法。</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支持</w:t>
      </w:r>
      <w:proofErr w:type="gramStart"/>
      <w:r>
        <w:rPr>
          <w:rFonts w:ascii="仿宋_GB2312" w:eastAsia="仿宋_GB2312" w:hAnsi="仿宋_GB2312" w:cs="仿宋_GB2312" w:hint="eastAsia"/>
          <w:color w:val="000000" w:themeColor="text1"/>
          <w:sz w:val="32"/>
          <w:szCs w:val="32"/>
        </w:rPr>
        <w:t>钻录测</w:t>
      </w:r>
      <w:proofErr w:type="gramEnd"/>
      <w:r>
        <w:rPr>
          <w:rFonts w:ascii="仿宋_GB2312" w:eastAsia="仿宋_GB2312" w:hAnsi="仿宋_GB2312" w:cs="仿宋_GB2312" w:hint="eastAsia"/>
          <w:color w:val="000000" w:themeColor="text1"/>
          <w:sz w:val="32"/>
          <w:szCs w:val="32"/>
        </w:rPr>
        <w:t>、地震、生产多域、多尺度数据集成、数</w:t>
      </w:r>
      <w:r>
        <w:rPr>
          <w:rFonts w:ascii="仿宋_GB2312" w:eastAsia="仿宋_GB2312" w:hAnsi="仿宋_GB2312" w:cs="仿宋_GB2312" w:hint="eastAsia"/>
          <w:color w:val="000000" w:themeColor="text1"/>
          <w:sz w:val="32"/>
          <w:szCs w:val="32"/>
        </w:rPr>
        <w:lastRenderedPageBreak/>
        <w:t>据标注、数据挖掘、层次迭代优化目标预测的大数据开发平台；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基于机器学习的井筒地质工程一体化大数据分析系统；</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基于深度学习的地震地质工程一体化大数据分析系统；</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深度学习和地质统计学相结合的动态地质建模系统。</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地质评价和工程设计协同效率提高</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倍以上；</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关键地质和工程参数井点和模型吻合率</w:t>
      </w:r>
      <w:r>
        <w:rPr>
          <w:rFonts w:ascii="仿宋_GB2312" w:eastAsia="仿宋_GB2312" w:hAnsi="仿宋_GB2312" w:cs="仿宋_GB2312" w:hint="eastAsia"/>
          <w:color w:val="000000" w:themeColor="text1"/>
          <w:sz w:val="32"/>
          <w:szCs w:val="32"/>
        </w:rPr>
        <w:t>90%</w:t>
      </w:r>
      <w:r>
        <w:rPr>
          <w:rFonts w:ascii="仿宋_GB2312" w:eastAsia="仿宋_GB2312" w:hAnsi="仿宋_GB2312" w:cs="仿宋_GB2312" w:hint="eastAsia"/>
          <w:color w:val="000000" w:themeColor="text1"/>
          <w:sz w:val="32"/>
          <w:szCs w:val="32"/>
        </w:rPr>
        <w:t>以上；</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关键地质和工程参数空间预测精度</w:t>
      </w:r>
      <w:r>
        <w:rPr>
          <w:rFonts w:ascii="仿宋_GB2312" w:eastAsia="仿宋_GB2312" w:hAnsi="仿宋_GB2312" w:cs="仿宋_GB2312" w:hint="eastAsia"/>
          <w:color w:val="000000" w:themeColor="text1"/>
          <w:sz w:val="32"/>
          <w:szCs w:val="32"/>
        </w:rPr>
        <w:t>80%</w:t>
      </w:r>
      <w:r>
        <w:rPr>
          <w:rFonts w:ascii="仿宋_GB2312" w:eastAsia="仿宋_GB2312" w:hAnsi="仿宋_GB2312" w:cs="仿宋_GB2312" w:hint="eastAsia"/>
          <w:color w:val="000000" w:themeColor="text1"/>
          <w:sz w:val="32"/>
          <w:szCs w:val="32"/>
        </w:rPr>
        <w:t>以上。</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具有页岩油地质工程一体化研究和现场实施团队以及实施成功案例；</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具有油藏表征及工程应用智能化成功案例；</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具有地质工程专业、数据科学和</w:t>
      </w:r>
      <w:r>
        <w:rPr>
          <w:rFonts w:ascii="仿宋_GB2312" w:eastAsia="仿宋_GB2312" w:hAnsi="仿宋_GB2312" w:cs="仿宋_GB2312" w:hint="eastAsia"/>
          <w:color w:val="000000" w:themeColor="text1"/>
          <w:sz w:val="32"/>
          <w:szCs w:val="32"/>
        </w:rPr>
        <w:t>IT</w:t>
      </w:r>
      <w:r>
        <w:rPr>
          <w:rFonts w:ascii="仿宋_GB2312" w:eastAsia="仿宋_GB2312" w:hAnsi="仿宋_GB2312" w:cs="仿宋_GB2312" w:hint="eastAsia"/>
          <w:color w:val="000000" w:themeColor="text1"/>
          <w:sz w:val="32"/>
          <w:szCs w:val="32"/>
        </w:rPr>
        <w:t>知识的复合型领军人才。</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780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43"/>
        <w:rPr>
          <w:rFonts w:ascii="黑体" w:eastAsia="黑体" w:hAnsi="黑体" w:cs="黑体"/>
          <w:b/>
          <w:color w:val="000000" w:themeColor="text1"/>
          <w:sz w:val="32"/>
          <w:szCs w:val="32"/>
        </w:rPr>
      </w:pPr>
    </w:p>
    <w:p w:rsidR="00275B30" w:rsidRDefault="00AB1B6F">
      <w:pPr>
        <w:spacing w:line="560" w:lineRule="exact"/>
        <w:ind w:firstLineChars="200" w:firstLine="643"/>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14</w:t>
      </w:r>
      <w:r>
        <w:rPr>
          <w:rFonts w:ascii="黑体" w:eastAsia="黑体" w:hAnsi="黑体" w:cs="黑体" w:hint="eastAsia"/>
          <w:b/>
          <w:color w:val="000000" w:themeColor="text1"/>
          <w:sz w:val="32"/>
          <w:szCs w:val="32"/>
        </w:rPr>
        <w:t>：古龙页岩油测井响应机理及薄纹层智能表征技术研究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古龙页岩油孔隙度、饱和度等储量参数的精度对准确提交探明储量至关重要，常规的孔隙度及饱和度等计算方法不</w:t>
      </w:r>
      <w:r>
        <w:rPr>
          <w:rFonts w:ascii="仿宋_GB2312" w:eastAsia="仿宋_GB2312" w:hAnsi="仿宋_GB2312" w:cs="仿宋_GB2312" w:hint="eastAsia"/>
          <w:color w:val="000000" w:themeColor="text1"/>
          <w:sz w:val="32"/>
          <w:szCs w:val="32"/>
        </w:rPr>
        <w:lastRenderedPageBreak/>
        <w:t>再适用于以泥页岩型为主的古龙页岩储集层，在测井响应机理及纹层表征的基础上，急需建议一套以核磁等测井资料为基础的储量参数求取方法，满足储量提交需求。</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三品质关键参数数字岩石表征及导电机理研究；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毫米级成像测井高分辨率处理技术研究；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有效孔隙刻度标准及可动油饱和度求取方法研究；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储层可压裂性评价技术研究；</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井下预警技术研究。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形成古龙页岩油测井响应机理理论；</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proofErr w:type="gramStart"/>
      <w:r>
        <w:rPr>
          <w:rFonts w:ascii="仿宋_GB2312" w:eastAsia="仿宋_GB2312" w:hAnsi="仿宋_GB2312" w:cs="仿宋_GB2312" w:hint="eastAsia"/>
          <w:color w:val="000000" w:themeColor="text1"/>
          <w:sz w:val="32"/>
          <w:szCs w:val="32"/>
        </w:rPr>
        <w:t>毫米级岩性</w:t>
      </w:r>
      <w:proofErr w:type="gramEnd"/>
      <w:r>
        <w:rPr>
          <w:rFonts w:ascii="仿宋_GB2312" w:eastAsia="仿宋_GB2312" w:hAnsi="仿宋_GB2312" w:cs="仿宋_GB2312" w:hint="eastAsia"/>
          <w:color w:val="000000" w:themeColor="text1"/>
          <w:sz w:val="32"/>
          <w:szCs w:val="32"/>
        </w:rPr>
        <w:t>识别符合率达到</w:t>
      </w:r>
      <w:r>
        <w:rPr>
          <w:rFonts w:ascii="仿宋_GB2312" w:eastAsia="仿宋_GB2312" w:hAnsi="仿宋_GB2312" w:cs="仿宋_GB2312" w:hint="eastAsia"/>
          <w:color w:val="000000" w:themeColor="text1"/>
          <w:sz w:val="32"/>
          <w:szCs w:val="32"/>
        </w:rPr>
        <w:t>80%</w:t>
      </w:r>
      <w:r>
        <w:rPr>
          <w:rFonts w:ascii="仿宋_GB2312" w:eastAsia="仿宋_GB2312" w:hAnsi="仿宋_GB2312" w:cs="仿宋_GB2312" w:hint="eastAsia"/>
          <w:color w:val="000000" w:themeColor="text1"/>
          <w:sz w:val="32"/>
          <w:szCs w:val="32"/>
        </w:rPr>
        <w:t>以上；</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有效孔隙度相对误差≤</w:t>
      </w:r>
      <w:r>
        <w:rPr>
          <w:rFonts w:ascii="仿宋_GB2312" w:eastAsia="仿宋_GB2312" w:hAnsi="仿宋_GB2312" w:cs="仿宋_GB2312" w:hint="eastAsia"/>
          <w:color w:val="000000" w:themeColor="text1"/>
          <w:sz w:val="32"/>
          <w:szCs w:val="32"/>
        </w:rPr>
        <w:t>8%</w:t>
      </w:r>
      <w:r>
        <w:rPr>
          <w:rFonts w:ascii="仿宋_GB2312" w:eastAsia="仿宋_GB2312" w:hAnsi="仿宋_GB2312" w:cs="仿宋_GB2312" w:hint="eastAsia"/>
          <w:color w:val="000000" w:themeColor="text1"/>
          <w:sz w:val="32"/>
          <w:szCs w:val="32"/>
        </w:rPr>
        <w:t>，饱和度绝对误差≤</w:t>
      </w: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形成自主知识产权软件</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套；</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申请国家发明专利</w:t>
      </w:r>
      <w:r>
        <w:rPr>
          <w:rFonts w:ascii="仿宋_GB2312" w:eastAsia="仿宋_GB2312" w:hAnsi="仿宋_GB2312" w:cs="仿宋_GB2312" w:hint="eastAsia"/>
          <w:color w:val="000000" w:themeColor="text1"/>
          <w:sz w:val="32"/>
          <w:szCs w:val="32"/>
        </w:rPr>
        <w:t>2-3</w:t>
      </w:r>
      <w:r>
        <w:rPr>
          <w:rFonts w:ascii="仿宋_GB2312" w:eastAsia="仿宋_GB2312" w:hAnsi="仿宋_GB2312" w:cs="仿宋_GB2312" w:hint="eastAsia"/>
          <w:color w:val="000000" w:themeColor="text1"/>
          <w:sz w:val="32"/>
          <w:szCs w:val="32"/>
        </w:rPr>
        <w:t>件，发表学术论文</w:t>
      </w:r>
      <w:r>
        <w:rPr>
          <w:rFonts w:ascii="仿宋_GB2312" w:eastAsia="仿宋_GB2312" w:hAnsi="仿宋_GB2312" w:cs="仿宋_GB2312" w:hint="eastAsia"/>
          <w:color w:val="000000" w:themeColor="text1"/>
          <w:sz w:val="32"/>
          <w:szCs w:val="32"/>
        </w:rPr>
        <w:t>2-4</w:t>
      </w:r>
      <w:r>
        <w:rPr>
          <w:rFonts w:ascii="仿宋_GB2312" w:eastAsia="仿宋_GB2312" w:hAnsi="仿宋_GB2312" w:cs="仿宋_GB2312" w:hint="eastAsia"/>
          <w:color w:val="000000" w:themeColor="text1"/>
          <w:sz w:val="32"/>
          <w:szCs w:val="32"/>
        </w:rPr>
        <w:t>篇。</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在测井资料处理及评价领域，拥有丰富的研究经验及先进的资料处理自主技术，技术带头人不低于正高级职称；</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拥有集团公司重点实验室，可涵盖大部分与测井专业相关的实验设备。</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1740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黑体" w:eastAsia="黑体" w:hAnsi="黑体" w:cs="黑体"/>
          <w:b/>
          <w:color w:val="000000" w:themeColor="text1"/>
          <w:sz w:val="30"/>
          <w:szCs w:val="30"/>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43"/>
        <w:rPr>
          <w:rFonts w:ascii="黑体" w:eastAsia="黑体" w:hAnsi="黑体" w:cs="黑体"/>
          <w:b/>
          <w:color w:val="000000" w:themeColor="text1"/>
          <w:sz w:val="32"/>
          <w:szCs w:val="32"/>
        </w:rPr>
      </w:pPr>
    </w:p>
    <w:p w:rsidR="00275B30" w:rsidRDefault="00AB1B6F">
      <w:pPr>
        <w:spacing w:line="560" w:lineRule="exact"/>
        <w:ind w:firstLineChars="200" w:firstLine="618"/>
        <w:rPr>
          <w:rFonts w:ascii="黑体" w:eastAsia="黑体" w:hAnsi="黑体" w:cs="黑体"/>
          <w:b/>
          <w:color w:val="000000" w:themeColor="text1"/>
          <w:spacing w:val="-6"/>
          <w:sz w:val="32"/>
          <w:szCs w:val="32"/>
        </w:rPr>
      </w:pPr>
      <w:r>
        <w:rPr>
          <w:rFonts w:ascii="黑体" w:eastAsia="黑体" w:hAnsi="黑体" w:cs="黑体" w:hint="eastAsia"/>
          <w:b/>
          <w:color w:val="000000" w:themeColor="text1"/>
          <w:spacing w:val="-6"/>
          <w:sz w:val="32"/>
          <w:szCs w:val="32"/>
        </w:rPr>
        <w:lastRenderedPageBreak/>
        <w:t>项目</w:t>
      </w:r>
      <w:r>
        <w:rPr>
          <w:rFonts w:ascii="黑体" w:eastAsia="黑体" w:hAnsi="黑体" w:cs="黑体" w:hint="eastAsia"/>
          <w:b/>
          <w:color w:val="000000" w:themeColor="text1"/>
          <w:spacing w:val="-6"/>
          <w:sz w:val="32"/>
          <w:szCs w:val="32"/>
        </w:rPr>
        <w:t>15</w:t>
      </w:r>
      <w:r>
        <w:rPr>
          <w:rFonts w:ascii="黑体" w:eastAsia="黑体" w:hAnsi="黑体" w:cs="黑体" w:hint="eastAsia"/>
          <w:b/>
          <w:color w:val="000000" w:themeColor="text1"/>
          <w:spacing w:val="-6"/>
          <w:sz w:val="32"/>
          <w:szCs w:val="32"/>
        </w:rPr>
        <w:t>：古龙页岩油地震响应机制及高精度成像方法研究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三维地震勘探技术是空间刻画页岩油气储层分布的关键技术。目前，古龙页岩油地震技术还处于起步阶段，需明确页岩油富集的地震响应机理，建立适应的高精度地震成像方法，加快发展古龙页岩油地震定量评价技术应用体系，支撑古龙页岩</w:t>
      </w:r>
      <w:proofErr w:type="gramStart"/>
      <w:r>
        <w:rPr>
          <w:rFonts w:ascii="仿宋_GB2312" w:eastAsia="仿宋_GB2312" w:hAnsi="仿宋_GB2312" w:cs="仿宋_GB2312" w:hint="eastAsia"/>
          <w:color w:val="000000" w:themeColor="text1"/>
          <w:sz w:val="32"/>
          <w:szCs w:val="32"/>
        </w:rPr>
        <w:t>油规模</w:t>
      </w:r>
      <w:proofErr w:type="gramEnd"/>
      <w:r>
        <w:rPr>
          <w:rFonts w:ascii="仿宋_GB2312" w:eastAsia="仿宋_GB2312" w:hAnsi="仿宋_GB2312" w:cs="仿宋_GB2312" w:hint="eastAsia"/>
          <w:color w:val="000000" w:themeColor="text1"/>
          <w:sz w:val="32"/>
          <w:szCs w:val="32"/>
        </w:rPr>
        <w:t>增储和效益开发。</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古龙页岩油多尺度地球物理响应机理研究；</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古龙页岩</w:t>
      </w:r>
      <w:proofErr w:type="gramStart"/>
      <w:r>
        <w:rPr>
          <w:rFonts w:ascii="仿宋_GB2312" w:eastAsia="仿宋_GB2312" w:hAnsi="仿宋_GB2312" w:cs="仿宋_GB2312" w:hint="eastAsia"/>
          <w:color w:val="000000" w:themeColor="text1"/>
          <w:sz w:val="32"/>
          <w:szCs w:val="32"/>
        </w:rPr>
        <w:t>层系粘弹各向异性介质</w:t>
      </w:r>
      <w:proofErr w:type="gramEnd"/>
      <w:r>
        <w:rPr>
          <w:rFonts w:ascii="仿宋_GB2312" w:eastAsia="仿宋_GB2312" w:hAnsi="仿宋_GB2312" w:cs="仿宋_GB2312" w:hint="eastAsia"/>
          <w:color w:val="000000" w:themeColor="text1"/>
          <w:sz w:val="32"/>
          <w:szCs w:val="32"/>
        </w:rPr>
        <w:t>地震波场模拟研究；</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强各向异性介质</w:t>
      </w:r>
      <w:proofErr w:type="gramStart"/>
      <w:r>
        <w:rPr>
          <w:rFonts w:ascii="仿宋_GB2312" w:eastAsia="仿宋_GB2312" w:hAnsi="仿宋_GB2312" w:cs="仿宋_GB2312" w:hint="eastAsia"/>
          <w:color w:val="000000" w:themeColor="text1"/>
          <w:sz w:val="32"/>
          <w:szCs w:val="32"/>
        </w:rPr>
        <w:t>叠前深度域高</w:t>
      </w:r>
      <w:proofErr w:type="gramEnd"/>
      <w:r>
        <w:rPr>
          <w:rFonts w:ascii="仿宋_GB2312" w:eastAsia="仿宋_GB2312" w:hAnsi="仿宋_GB2312" w:cs="仿宋_GB2312" w:hint="eastAsia"/>
          <w:color w:val="000000" w:themeColor="text1"/>
          <w:sz w:val="32"/>
          <w:szCs w:val="32"/>
        </w:rPr>
        <w:t>精度成像方法研究。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提出古龙页岩油地质特征的多尺度岩石物理模型，阐明地球物理性质与储层参数之间的动静态规律；</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提交符合实际的三维地质</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岩石物理数值模型</w:t>
      </w:r>
      <w:proofErr w:type="gramStart"/>
      <w:r>
        <w:rPr>
          <w:rFonts w:ascii="仿宋_GB2312" w:eastAsia="仿宋_GB2312" w:hAnsi="仿宋_GB2312" w:cs="仿宋_GB2312" w:hint="eastAsia"/>
          <w:color w:val="000000" w:themeColor="text1"/>
          <w:sz w:val="32"/>
          <w:szCs w:val="32"/>
        </w:rPr>
        <w:t>及波场模拟</w:t>
      </w:r>
      <w:proofErr w:type="gramEnd"/>
      <w:r>
        <w:rPr>
          <w:rFonts w:ascii="仿宋_GB2312" w:eastAsia="仿宋_GB2312" w:hAnsi="仿宋_GB2312" w:cs="仿宋_GB2312" w:hint="eastAsia"/>
          <w:color w:val="000000" w:themeColor="text1"/>
          <w:sz w:val="32"/>
          <w:szCs w:val="32"/>
        </w:rPr>
        <w:t>结果，指导古龙页岩油地震采集、处理、反演的技术策略制定；</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建立古龙页岩油高频散、强各向异性特征</w:t>
      </w:r>
      <w:proofErr w:type="gramStart"/>
      <w:r>
        <w:rPr>
          <w:rFonts w:ascii="仿宋_GB2312" w:eastAsia="仿宋_GB2312" w:hAnsi="仿宋_GB2312" w:cs="仿宋_GB2312" w:hint="eastAsia"/>
          <w:color w:val="000000" w:themeColor="text1"/>
          <w:sz w:val="32"/>
          <w:szCs w:val="32"/>
        </w:rPr>
        <w:t>的叠前深度</w:t>
      </w:r>
      <w:proofErr w:type="gramEnd"/>
      <w:r>
        <w:rPr>
          <w:rFonts w:ascii="仿宋_GB2312" w:eastAsia="仿宋_GB2312" w:hAnsi="仿宋_GB2312" w:cs="仿宋_GB2312" w:hint="eastAsia"/>
          <w:color w:val="000000" w:themeColor="text1"/>
          <w:sz w:val="32"/>
          <w:szCs w:val="32"/>
        </w:rPr>
        <w:t>域成像方法，改善页岩层段成像效果，提高</w:t>
      </w:r>
      <w:proofErr w:type="gramStart"/>
      <w:r>
        <w:rPr>
          <w:rFonts w:ascii="仿宋_GB2312" w:eastAsia="仿宋_GB2312" w:hAnsi="仿宋_GB2312" w:cs="仿宋_GB2312" w:hint="eastAsia"/>
          <w:color w:val="000000" w:themeColor="text1"/>
          <w:sz w:val="32"/>
          <w:szCs w:val="32"/>
        </w:rPr>
        <w:t>叠前</w:t>
      </w:r>
      <w:proofErr w:type="gramEnd"/>
      <w:r>
        <w:rPr>
          <w:rFonts w:ascii="仿宋_GB2312" w:eastAsia="仿宋_GB2312" w:hAnsi="仿宋_GB2312" w:cs="仿宋_GB2312" w:hint="eastAsia"/>
          <w:color w:val="000000" w:themeColor="text1"/>
          <w:sz w:val="32"/>
          <w:szCs w:val="32"/>
        </w:rPr>
        <w:t>叠后数据的井震匹配程度。</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在地震勘探领域拥有丰富研究经验和先进自主技术；</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拥有国家或省市地震勘探技术领域科技承担经验；</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拥有省级及以上工程技术研究中心及主要实验设备。</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lastRenderedPageBreak/>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1020</w:t>
      </w:r>
      <w:r>
        <w:rPr>
          <w:rFonts w:ascii="仿宋_GB2312" w:eastAsia="仿宋_GB2312" w:hAnsi="仿宋_GB2312" w:cs="仿宋_GB2312" w:hint="eastAsia"/>
          <w:color w:val="000000" w:themeColor="text1"/>
          <w:sz w:val="32"/>
          <w:szCs w:val="32"/>
        </w:rPr>
        <w:t>万元</w:t>
      </w:r>
    </w:p>
    <w:p w:rsidR="00275B30" w:rsidRDefault="00AB1B6F">
      <w:pPr>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pPr>
        <w:spacing w:line="560" w:lineRule="exact"/>
        <w:ind w:firstLineChars="200" w:firstLine="640"/>
        <w:rPr>
          <w:rFonts w:ascii="黑体" w:eastAsia="黑体" w:hAnsi="黑体" w:cs="黑体"/>
          <w:b/>
          <w:color w:val="000000" w:themeColor="text1"/>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p w:rsidR="00275B30" w:rsidRDefault="00275B30">
      <w:pPr>
        <w:spacing w:line="560" w:lineRule="exact"/>
        <w:ind w:firstLineChars="200" w:firstLine="643"/>
        <w:rPr>
          <w:rFonts w:ascii="黑体" w:eastAsia="黑体" w:hAnsi="黑体" w:cs="黑体"/>
          <w:b/>
          <w:color w:val="000000" w:themeColor="text1"/>
          <w:sz w:val="32"/>
          <w:szCs w:val="32"/>
        </w:rPr>
      </w:pPr>
    </w:p>
    <w:p w:rsidR="00275B30" w:rsidRDefault="00AB1B6F">
      <w:pPr>
        <w:spacing w:line="560" w:lineRule="exact"/>
        <w:ind w:firstLineChars="200" w:firstLine="643"/>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项目</w:t>
      </w:r>
      <w:r>
        <w:rPr>
          <w:rFonts w:ascii="黑体" w:eastAsia="黑体" w:hAnsi="黑体" w:cs="黑体" w:hint="eastAsia"/>
          <w:b/>
          <w:color w:val="000000" w:themeColor="text1"/>
          <w:sz w:val="32"/>
          <w:szCs w:val="32"/>
        </w:rPr>
        <w:t>16</w:t>
      </w:r>
      <w:r>
        <w:rPr>
          <w:rFonts w:ascii="黑体" w:eastAsia="黑体" w:hAnsi="黑体" w:cs="黑体" w:hint="eastAsia"/>
          <w:b/>
          <w:color w:val="000000" w:themeColor="text1"/>
          <w:sz w:val="32"/>
          <w:szCs w:val="32"/>
        </w:rPr>
        <w:t>：古龙页岩油复合压裂井筒完整性研究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需求描述：</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需要建立完井套管强度设计及评估方法，考虑页岩大规模压裂诱发地层滑移、地层与套管</w:t>
      </w:r>
      <w:proofErr w:type="gramStart"/>
      <w:r>
        <w:rPr>
          <w:rFonts w:ascii="仿宋_GB2312" w:eastAsia="仿宋_GB2312" w:hAnsi="仿宋_GB2312" w:cs="仿宋_GB2312" w:hint="eastAsia"/>
          <w:color w:val="000000" w:themeColor="text1"/>
          <w:sz w:val="32"/>
          <w:szCs w:val="32"/>
        </w:rPr>
        <w:t>水泥环</w:t>
      </w:r>
      <w:proofErr w:type="gramEnd"/>
      <w:r>
        <w:rPr>
          <w:rFonts w:ascii="仿宋_GB2312" w:eastAsia="仿宋_GB2312" w:hAnsi="仿宋_GB2312" w:cs="仿宋_GB2312" w:hint="eastAsia"/>
          <w:color w:val="000000" w:themeColor="text1"/>
          <w:sz w:val="32"/>
          <w:szCs w:val="32"/>
        </w:rPr>
        <w:t>耦合分析评价方法，</w:t>
      </w:r>
      <w:r>
        <w:rPr>
          <w:rFonts w:ascii="仿宋_GB2312" w:eastAsia="仿宋_GB2312" w:hAnsi="仿宋_GB2312" w:cs="仿宋_GB2312" w:hint="eastAsia"/>
          <w:color w:val="000000" w:themeColor="text1"/>
          <w:sz w:val="32"/>
          <w:szCs w:val="32"/>
        </w:rPr>
        <w:t>CO2</w:t>
      </w:r>
      <w:r>
        <w:rPr>
          <w:rFonts w:ascii="仿宋_GB2312" w:eastAsia="仿宋_GB2312" w:hAnsi="仿宋_GB2312" w:cs="仿宋_GB2312" w:hint="eastAsia"/>
          <w:color w:val="000000" w:themeColor="text1"/>
          <w:sz w:val="32"/>
          <w:szCs w:val="32"/>
        </w:rPr>
        <w:t>对管柱影响分析，</w:t>
      </w:r>
      <w:proofErr w:type="gramStart"/>
      <w:r>
        <w:rPr>
          <w:rFonts w:ascii="仿宋_GB2312" w:eastAsia="仿宋_GB2312" w:hAnsi="仿宋_GB2312" w:cs="仿宋_GB2312" w:hint="eastAsia"/>
          <w:color w:val="000000" w:themeColor="text1"/>
          <w:sz w:val="32"/>
          <w:szCs w:val="32"/>
        </w:rPr>
        <w:t>套损机</w:t>
      </w:r>
      <w:proofErr w:type="gramEnd"/>
      <w:r>
        <w:rPr>
          <w:rFonts w:ascii="仿宋_GB2312" w:eastAsia="仿宋_GB2312" w:hAnsi="仿宋_GB2312" w:cs="仿宋_GB2312" w:hint="eastAsia"/>
          <w:color w:val="000000" w:themeColor="text1"/>
          <w:sz w:val="32"/>
          <w:szCs w:val="32"/>
        </w:rPr>
        <w:t>理及预测控制方法仍需进一步攻关。</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主要研究内容：</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复合压裂对井筒完整性的影响</w:t>
      </w:r>
      <w:r>
        <w:rPr>
          <w:rFonts w:ascii="仿宋_GB2312" w:eastAsia="仿宋_GB2312" w:hAnsi="仿宋_GB2312" w:cs="仿宋_GB2312" w:hint="eastAsia"/>
          <w:color w:val="000000" w:themeColor="text1"/>
          <w:sz w:val="32"/>
          <w:szCs w:val="32"/>
        </w:rPr>
        <w:t>；</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CO</w:t>
      </w:r>
      <w:r>
        <w:rPr>
          <w:rFonts w:ascii="仿宋_GB2312" w:eastAsia="仿宋_GB2312" w:hAnsi="仿宋_GB2312" w:cs="仿宋_GB2312" w:hint="eastAsia"/>
          <w:color w:val="000000" w:themeColor="text1"/>
          <w:sz w:val="32"/>
          <w:szCs w:val="32"/>
          <w:vertAlign w:val="subscript"/>
        </w:rPr>
        <w:t>2</w:t>
      </w:r>
      <w:r>
        <w:rPr>
          <w:rFonts w:ascii="仿宋_GB2312" w:eastAsia="仿宋_GB2312" w:hAnsi="仿宋_GB2312" w:cs="仿宋_GB2312" w:hint="eastAsia"/>
          <w:color w:val="000000" w:themeColor="text1"/>
          <w:sz w:val="32"/>
          <w:szCs w:val="32"/>
        </w:rPr>
        <w:t>对管柱影响的预测与监测</w:t>
      </w:r>
      <w:r>
        <w:rPr>
          <w:rFonts w:ascii="仿宋_GB2312" w:eastAsia="仿宋_GB2312" w:hAnsi="仿宋_GB2312" w:cs="仿宋_GB2312" w:hint="eastAsia"/>
          <w:color w:val="000000" w:themeColor="text1"/>
          <w:sz w:val="32"/>
          <w:szCs w:val="32"/>
        </w:rPr>
        <w:t>；</w:t>
      </w:r>
    </w:p>
    <w:p w:rsidR="00275B30" w:rsidRDefault="00AB1B6F">
      <w:pPr>
        <w:adjustRightInd w:val="0"/>
        <w:snapToGrid w:val="0"/>
        <w:spacing w:line="560" w:lineRule="exact"/>
        <w:ind w:leftChars="8" w:left="17" w:firstLineChars="183" w:firstLine="586"/>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地质运移套管变形工程试验研究。</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技术指标：</w:t>
      </w:r>
    </w:p>
    <w:p w:rsidR="00275B30" w:rsidRDefault="00AB1B6F">
      <w:pPr>
        <w:adjustRightInd w:val="0"/>
        <w:snapToGrid w:val="0"/>
        <w:spacing w:line="560" w:lineRule="exact"/>
        <w:ind w:leftChars="8" w:left="17"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形成复合压裂井筒完整性评价方法。</w:t>
      </w:r>
    </w:p>
    <w:p w:rsidR="00275B30" w:rsidRDefault="00AB1B6F">
      <w:pPr>
        <w:spacing w:line="560" w:lineRule="exact"/>
        <w:ind w:firstLineChars="200" w:firstLine="640"/>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对揭榜方要求：</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具备丰富管柱研究及现场经验的科研院所。</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经费预算</w:t>
      </w:r>
      <w:r>
        <w:rPr>
          <w:rFonts w:ascii="楷体_GB2312" w:eastAsia="楷体_GB2312" w:hAnsi="楷体_GB2312" w:cs="楷体_GB2312" w:hint="eastAsia"/>
          <w:b/>
          <w:bCs/>
          <w:color w:val="000000" w:themeColor="text1"/>
          <w:sz w:val="32"/>
          <w:szCs w:val="32"/>
        </w:rPr>
        <w:t>：</w:t>
      </w:r>
      <w:r>
        <w:rPr>
          <w:rFonts w:ascii="仿宋_GB2312" w:eastAsia="仿宋_GB2312" w:hAnsi="仿宋_GB2312" w:cs="仿宋_GB2312" w:hint="eastAsia"/>
          <w:color w:val="000000" w:themeColor="text1"/>
          <w:sz w:val="32"/>
          <w:szCs w:val="32"/>
        </w:rPr>
        <w:t>900</w:t>
      </w:r>
      <w:r>
        <w:rPr>
          <w:rFonts w:ascii="仿宋_GB2312" w:eastAsia="仿宋_GB2312" w:hAnsi="仿宋_GB2312" w:cs="仿宋_GB2312" w:hint="eastAsia"/>
          <w:color w:val="000000" w:themeColor="text1"/>
          <w:sz w:val="32"/>
          <w:szCs w:val="32"/>
        </w:rPr>
        <w:t>万元</w:t>
      </w:r>
    </w:p>
    <w:p w:rsidR="00275B30" w:rsidRDefault="00AB1B6F">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研究周期：</w:t>
      </w: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年</w:t>
      </w:r>
    </w:p>
    <w:p w:rsidR="00275B30" w:rsidRDefault="00AB1B6F" w:rsidP="003B0985">
      <w:pPr>
        <w:adjustRightInd w:val="0"/>
        <w:snapToGrid w:val="0"/>
        <w:spacing w:line="560" w:lineRule="exact"/>
        <w:ind w:leftChars="8" w:left="17"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b/>
          <w:bCs/>
          <w:color w:val="000000" w:themeColor="text1"/>
          <w:sz w:val="32"/>
          <w:szCs w:val="32"/>
        </w:rPr>
        <w:t>发榜单位：</w:t>
      </w:r>
      <w:r>
        <w:rPr>
          <w:rFonts w:ascii="仿宋_GB2312" w:eastAsia="仿宋_GB2312" w:hAnsi="仿宋_GB2312" w:cs="仿宋_GB2312" w:hint="eastAsia"/>
          <w:color w:val="000000" w:themeColor="text1"/>
          <w:spacing w:val="-6"/>
          <w:sz w:val="32"/>
          <w:szCs w:val="32"/>
        </w:rPr>
        <w:t>黑龙江省科学技术厅</w:t>
      </w:r>
      <w:r>
        <w:rPr>
          <w:rFonts w:ascii="仿宋_GB2312" w:eastAsia="仿宋_GB2312" w:hAnsi="仿宋_GB2312" w:cs="仿宋_GB2312" w:hint="eastAsia"/>
          <w:color w:val="000000" w:themeColor="text1"/>
          <w:spacing w:val="-6"/>
          <w:sz w:val="32"/>
          <w:szCs w:val="32"/>
        </w:rPr>
        <w:t xml:space="preserve"> </w:t>
      </w:r>
      <w:r>
        <w:rPr>
          <w:rFonts w:ascii="仿宋_GB2312" w:eastAsia="仿宋_GB2312" w:hAnsi="仿宋_GB2312" w:cs="仿宋_GB2312" w:hint="eastAsia"/>
          <w:color w:val="000000" w:themeColor="text1"/>
          <w:spacing w:val="-6"/>
          <w:sz w:val="32"/>
          <w:szCs w:val="32"/>
        </w:rPr>
        <w:t>大庆油田有限责任公司</w:t>
      </w:r>
    </w:p>
    <w:sectPr w:rsidR="00275B30">
      <w:footerReference w:type="default" r:id="rId9"/>
      <w:footerReference w:type="firs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B6F" w:rsidRDefault="00AB1B6F">
      <w:r>
        <w:separator/>
      </w:r>
    </w:p>
  </w:endnote>
  <w:endnote w:type="continuationSeparator" w:id="0">
    <w:p w:rsidR="00AB1B6F" w:rsidRDefault="00AB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方正仿宋简体">
    <w:altName w:val="微软雅黑"/>
    <w:charset w:val="86"/>
    <w:family w:val="auto"/>
    <w:pitch w:val="default"/>
    <w:sig w:usb0="00000000" w:usb1="00000000" w:usb2="00000010" w:usb3="00000000" w:csb0="00040000" w:csb1="00000000"/>
  </w:font>
  <w:font w:name="楷体_GB2312">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B30" w:rsidRDefault="00AB1B6F">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21474209"/>
                          </w:sdtPr>
                          <w:sdtEndPr/>
                          <w:sdtContent>
                            <w:p w:rsidR="00275B30" w:rsidRDefault="00AB1B6F">
                              <w:pPr>
                                <w:pStyle w:val="a7"/>
                                <w:jc w:val="center"/>
                              </w:pPr>
                              <w:r>
                                <w:fldChar w:fldCharType="begin"/>
                              </w:r>
                              <w:r>
                                <w:instrText>PAGE   \* MERGEFORMAT</w:instrText>
                              </w:r>
                              <w:r>
                                <w:fldChar w:fldCharType="separate"/>
                              </w:r>
                              <w:r>
                                <w:rPr>
                                  <w:lang w:val="zh-CN"/>
                                </w:rPr>
                                <w:t>19</w:t>
                              </w:r>
                              <w:r>
                                <w:fldChar w:fldCharType="end"/>
                              </w:r>
                            </w:p>
                          </w:sdtContent>
                        </w:sdt>
                        <w:p w:rsidR="00275B30" w:rsidRDefault="00275B3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421474209"/>
                    </w:sdtPr>
                    <w:sdtEndPr/>
                    <w:sdtContent>
                      <w:p w:rsidR="00275B30" w:rsidRDefault="00AB1B6F">
                        <w:pPr>
                          <w:pStyle w:val="a7"/>
                          <w:jc w:val="center"/>
                        </w:pPr>
                        <w:r>
                          <w:fldChar w:fldCharType="begin"/>
                        </w:r>
                        <w:r>
                          <w:instrText>PAGE   \* MERGEFORMAT</w:instrText>
                        </w:r>
                        <w:r>
                          <w:fldChar w:fldCharType="separate"/>
                        </w:r>
                        <w:r>
                          <w:rPr>
                            <w:lang w:val="zh-CN"/>
                          </w:rPr>
                          <w:t>19</w:t>
                        </w:r>
                        <w:r>
                          <w:fldChar w:fldCharType="end"/>
                        </w:r>
                      </w:p>
                    </w:sdtContent>
                  </w:sdt>
                  <w:p w:rsidR="00275B30" w:rsidRDefault="00275B30"/>
                </w:txbxContent>
              </v:textbox>
              <w10:wrap anchorx="margin"/>
            </v:shape>
          </w:pict>
        </mc:Fallback>
      </mc:AlternateContent>
    </w:r>
  </w:p>
  <w:p w:rsidR="00275B30" w:rsidRDefault="00275B3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B30" w:rsidRDefault="00AB1B6F">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75B30" w:rsidRDefault="00AB1B6F">
                          <w:pPr>
                            <w:pStyle w:val="a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275B30" w:rsidRDefault="00AB1B6F">
                    <w:pPr>
                      <w:pStyle w:val="a7"/>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B6F" w:rsidRDefault="00AB1B6F">
      <w:r>
        <w:separator/>
      </w:r>
    </w:p>
  </w:footnote>
  <w:footnote w:type="continuationSeparator" w:id="0">
    <w:p w:rsidR="00AB1B6F" w:rsidRDefault="00AB1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810344"/>
    <w:multiLevelType w:val="singleLevel"/>
    <w:tmpl w:val="60810344"/>
    <w:lvl w:ilvl="0">
      <w:start w:val="1"/>
      <w:numFmt w:val="decimal"/>
      <w:suff w:val="nothing"/>
      <w:lvlText w:val="%1."/>
      <w:lvlJc w:val="left"/>
    </w:lvl>
  </w:abstractNum>
  <w:abstractNum w:abstractNumId="1" w15:restartNumberingAfterBreak="0">
    <w:nsid w:val="60810363"/>
    <w:multiLevelType w:val="singleLevel"/>
    <w:tmpl w:val="60810363"/>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1B4E"/>
    <w:rsid w:val="00093337"/>
    <w:rsid w:val="00093BA8"/>
    <w:rsid w:val="000974FA"/>
    <w:rsid w:val="000C53D3"/>
    <w:rsid w:val="000D6826"/>
    <w:rsid w:val="001311D6"/>
    <w:rsid w:val="00145A8E"/>
    <w:rsid w:val="001A07CB"/>
    <w:rsid w:val="002065A5"/>
    <w:rsid w:val="002128B6"/>
    <w:rsid w:val="0021502C"/>
    <w:rsid w:val="0022433F"/>
    <w:rsid w:val="00275B30"/>
    <w:rsid w:val="002775DA"/>
    <w:rsid w:val="002C2007"/>
    <w:rsid w:val="002F05AD"/>
    <w:rsid w:val="002F37AE"/>
    <w:rsid w:val="00302D95"/>
    <w:rsid w:val="00322BA9"/>
    <w:rsid w:val="003B0985"/>
    <w:rsid w:val="003B3B6C"/>
    <w:rsid w:val="003C100B"/>
    <w:rsid w:val="003C2388"/>
    <w:rsid w:val="003D0635"/>
    <w:rsid w:val="003F599B"/>
    <w:rsid w:val="00410C38"/>
    <w:rsid w:val="0041304C"/>
    <w:rsid w:val="0042382B"/>
    <w:rsid w:val="0045559B"/>
    <w:rsid w:val="004614C8"/>
    <w:rsid w:val="00462F5B"/>
    <w:rsid w:val="00475617"/>
    <w:rsid w:val="00476CD6"/>
    <w:rsid w:val="004A6374"/>
    <w:rsid w:val="004C51B1"/>
    <w:rsid w:val="004F0B88"/>
    <w:rsid w:val="005367E4"/>
    <w:rsid w:val="00581313"/>
    <w:rsid w:val="00586CB8"/>
    <w:rsid w:val="0059187A"/>
    <w:rsid w:val="005F1A0A"/>
    <w:rsid w:val="006B1303"/>
    <w:rsid w:val="006B649C"/>
    <w:rsid w:val="006F1841"/>
    <w:rsid w:val="00700A7A"/>
    <w:rsid w:val="007A4E2B"/>
    <w:rsid w:val="007C5112"/>
    <w:rsid w:val="007E12DE"/>
    <w:rsid w:val="00897A6F"/>
    <w:rsid w:val="008B6D3E"/>
    <w:rsid w:val="008C5D6F"/>
    <w:rsid w:val="008E0C72"/>
    <w:rsid w:val="008E68E4"/>
    <w:rsid w:val="00934C59"/>
    <w:rsid w:val="00984535"/>
    <w:rsid w:val="009B23B0"/>
    <w:rsid w:val="009D3CF5"/>
    <w:rsid w:val="009E3979"/>
    <w:rsid w:val="009F5C98"/>
    <w:rsid w:val="00A03CBC"/>
    <w:rsid w:val="00A56DDE"/>
    <w:rsid w:val="00A66061"/>
    <w:rsid w:val="00A7257F"/>
    <w:rsid w:val="00A85414"/>
    <w:rsid w:val="00AB1B6F"/>
    <w:rsid w:val="00AC0740"/>
    <w:rsid w:val="00AF3795"/>
    <w:rsid w:val="00AF7212"/>
    <w:rsid w:val="00B029A6"/>
    <w:rsid w:val="00B31FF6"/>
    <w:rsid w:val="00B82A5F"/>
    <w:rsid w:val="00BA4BDF"/>
    <w:rsid w:val="00BF7D8E"/>
    <w:rsid w:val="00C41381"/>
    <w:rsid w:val="00C433B0"/>
    <w:rsid w:val="00C63EF3"/>
    <w:rsid w:val="00C766E1"/>
    <w:rsid w:val="00CA5DF0"/>
    <w:rsid w:val="00CB6800"/>
    <w:rsid w:val="00CC570F"/>
    <w:rsid w:val="00CE740D"/>
    <w:rsid w:val="00CF6A20"/>
    <w:rsid w:val="00D0309F"/>
    <w:rsid w:val="00D2226B"/>
    <w:rsid w:val="00D22CBB"/>
    <w:rsid w:val="00D36F70"/>
    <w:rsid w:val="00D40B65"/>
    <w:rsid w:val="00D61B4E"/>
    <w:rsid w:val="00D67AB4"/>
    <w:rsid w:val="00D73E58"/>
    <w:rsid w:val="00DA1FD7"/>
    <w:rsid w:val="00DA520A"/>
    <w:rsid w:val="00DC1BE2"/>
    <w:rsid w:val="00DC4FFC"/>
    <w:rsid w:val="00DC6FE7"/>
    <w:rsid w:val="00E101D9"/>
    <w:rsid w:val="00E21F3F"/>
    <w:rsid w:val="00E474FC"/>
    <w:rsid w:val="00E72508"/>
    <w:rsid w:val="00F357B4"/>
    <w:rsid w:val="00F52927"/>
    <w:rsid w:val="06025DA6"/>
    <w:rsid w:val="0C440D28"/>
    <w:rsid w:val="139D531C"/>
    <w:rsid w:val="1EB6731A"/>
    <w:rsid w:val="20E57F5A"/>
    <w:rsid w:val="312B1386"/>
    <w:rsid w:val="3C511EB0"/>
    <w:rsid w:val="438E49A9"/>
    <w:rsid w:val="45C20A6D"/>
    <w:rsid w:val="487F0875"/>
    <w:rsid w:val="4CBC5EB2"/>
    <w:rsid w:val="69913BAF"/>
    <w:rsid w:val="6B861791"/>
    <w:rsid w:val="72B21D45"/>
    <w:rsid w:val="76F01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CD9D30-B158-4993-9A67-727FFE86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6">
    <w:name w:val="heading 6"/>
    <w:basedOn w:val="a"/>
    <w:next w:val="a"/>
    <w:uiPriority w:val="9"/>
    <w:unhideWhenUsed/>
    <w:qFormat/>
    <w:pPr>
      <w:keepNext/>
      <w:keepLines/>
      <w:spacing w:before="240" w:after="64" w:line="320" w:lineRule="auto"/>
      <w:outlineLvl w:val="5"/>
    </w:pPr>
    <w:rPr>
      <w:rFonts w:asciiTheme="majorHAnsi" w:eastAsiaTheme="majorEastAsia" w:hAnsiTheme="majorHAnsi"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widowControl/>
      <w:ind w:leftChars="2500" w:left="100"/>
      <w:jc w:val="left"/>
    </w:pPr>
    <w:rPr>
      <w:sz w:val="28"/>
      <w:szCs w:val="24"/>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pPr>
      <w:ind w:firstLineChars="200" w:firstLine="420"/>
    </w:pPr>
  </w:style>
  <w:style w:type="character" w:customStyle="1" w:styleId="a8">
    <w:name w:val="页脚 字符"/>
    <w:basedOn w:val="a0"/>
    <w:link w:val="a7"/>
    <w:uiPriority w:val="99"/>
    <w:qFormat/>
    <w:rPr>
      <w:sz w:val="18"/>
      <w:szCs w:val="18"/>
    </w:rPr>
  </w:style>
  <w:style w:type="character" w:customStyle="1" w:styleId="aa">
    <w:name w:val="页眉 字符"/>
    <w:basedOn w:val="a0"/>
    <w:link w:val="a9"/>
    <w:uiPriority w:val="99"/>
    <w:qFormat/>
    <w:rPr>
      <w:sz w:val="18"/>
      <w:szCs w:val="18"/>
    </w:rPr>
  </w:style>
  <w:style w:type="paragraph" w:customStyle="1" w:styleId="10">
    <w:name w:val="无间隔1"/>
    <w:link w:val="Char"/>
    <w:uiPriority w:val="1"/>
    <w:qFormat/>
    <w:rPr>
      <w:sz w:val="22"/>
      <w:szCs w:val="22"/>
    </w:rPr>
  </w:style>
  <w:style w:type="character" w:customStyle="1" w:styleId="Char">
    <w:name w:val="无间隔 Char"/>
    <w:basedOn w:val="a0"/>
    <w:link w:val="10"/>
    <w:uiPriority w:val="1"/>
    <w:qFormat/>
    <w:rPr>
      <w:kern w:val="0"/>
      <w:sz w:val="22"/>
    </w:rPr>
  </w:style>
  <w:style w:type="character" w:customStyle="1" w:styleId="a4">
    <w:name w:val="日期 字符"/>
    <w:link w:val="a3"/>
    <w:qFormat/>
    <w:rPr>
      <w:sz w:val="28"/>
      <w:szCs w:val="24"/>
    </w:rPr>
  </w:style>
  <w:style w:type="character" w:customStyle="1" w:styleId="Char1">
    <w:name w:val="日期 Char1"/>
    <w:basedOn w:val="a0"/>
    <w:uiPriority w:val="99"/>
    <w:semiHidden/>
    <w:qFormat/>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4F53D3-24E2-47A7-9C5C-CC42CEB8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19</Pages>
  <Words>1228</Words>
  <Characters>7005</Characters>
  <Application>Microsoft Office Word</Application>
  <DocSecurity>0</DocSecurity>
  <Lines>58</Lines>
  <Paragraphs>16</Paragraphs>
  <ScaleCrop>false</ScaleCrop>
  <Company>Microsoft</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大庆油田古龙页岩油揭榜挂帅项目书</dc:title>
  <dc:creator>AutoBVT</dc:creator>
  <cp:lastModifiedBy>shucheng tan</cp:lastModifiedBy>
  <cp:revision>68</cp:revision>
  <cp:lastPrinted>2021-04-25T00:26:00Z</cp:lastPrinted>
  <dcterms:created xsi:type="dcterms:W3CDTF">2021-04-21T08:26:00Z</dcterms:created>
  <dcterms:modified xsi:type="dcterms:W3CDTF">2021-05-26T07:11:00Z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6F5B4D0DC40341F98CA53F82DCCEE3F6</vt:lpwstr>
  </property>
</Properties>
</file>